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3495" w:rsidRDefault="00E00FCD">
      <w:pPr>
        <w:pStyle w:val="Heading1"/>
        <w:spacing w:before="75"/>
        <w:ind w:left="2029" w:right="0"/>
        <w:jc w:val="left"/>
      </w:pPr>
      <w:bookmarkStart w:id="0" w:name="ENGLISH_AND_COMPARATIVE_LITERATURE"/>
      <w:bookmarkEnd w:id="0"/>
      <w:r>
        <w:rPr>
          <w:w w:val="110"/>
        </w:rPr>
        <w:t>ENGLISH AND COMPARATIVE LITERATURE</w:t>
      </w:r>
    </w:p>
    <w:p w:rsidR="00343495" w:rsidRDefault="00E00FCD">
      <w:pPr>
        <w:spacing w:before="4"/>
        <w:ind w:left="1252"/>
        <w:rPr>
          <w:b/>
          <w:sz w:val="28"/>
        </w:rPr>
      </w:pPr>
      <w:r>
        <w:rPr>
          <w:b/>
          <w:sz w:val="28"/>
        </w:rPr>
        <w:t>Worksheet for majors declaring in 2025 and after, concentrators, and minors</w:t>
      </w:r>
    </w:p>
    <w:p w:rsidR="00343495" w:rsidRDefault="00E00FCD">
      <w:pPr>
        <w:pStyle w:val="Heading2"/>
        <w:tabs>
          <w:tab w:val="left" w:pos="5523"/>
          <w:tab w:val="left" w:pos="5763"/>
          <w:tab w:val="left" w:pos="7424"/>
          <w:tab w:val="left" w:pos="7664"/>
          <w:tab w:val="left" w:pos="8492"/>
          <w:tab w:val="left" w:pos="9591"/>
          <w:tab w:val="left" w:pos="11031"/>
        </w:tabs>
        <w:spacing w:before="227"/>
      </w:pPr>
      <w:r>
        <w:t>Name:</w:t>
      </w:r>
      <w:r>
        <w:rPr>
          <w:u w:val="single"/>
        </w:rPr>
        <w:t xml:space="preserve"> </w:t>
      </w:r>
      <w:r>
        <w:rPr>
          <w:u w:val="single"/>
        </w:rPr>
        <w:tab/>
      </w:r>
      <w:r>
        <w:tab/>
        <w:t>UNI:</w:t>
      </w:r>
      <w:r>
        <w:rPr>
          <w:u w:val="single"/>
        </w:rPr>
        <w:t xml:space="preserve"> </w:t>
      </w:r>
      <w:r>
        <w:rPr>
          <w:u w:val="single"/>
        </w:rPr>
        <w:tab/>
      </w:r>
      <w:r>
        <w:tab/>
        <w:t>CC</w:t>
      </w:r>
      <w:r>
        <w:rPr>
          <w:u w:val="single"/>
        </w:rPr>
        <w:t xml:space="preserve"> </w:t>
      </w:r>
      <w:r>
        <w:rPr>
          <w:u w:val="single"/>
        </w:rPr>
        <w:tab/>
      </w:r>
      <w:r>
        <w:t>GS</w:t>
      </w:r>
      <w:r>
        <w:rPr>
          <w:u w:val="single"/>
        </w:rPr>
        <w:t xml:space="preserve"> </w:t>
      </w:r>
      <w:r>
        <w:rPr>
          <w:u w:val="single"/>
        </w:rPr>
        <w:tab/>
      </w:r>
      <w:r>
        <w:t xml:space="preserve">SEAS </w:t>
      </w:r>
      <w:r>
        <w:rPr>
          <w:u w:val="single"/>
        </w:rPr>
        <w:t xml:space="preserve"> </w:t>
      </w:r>
      <w:r>
        <w:rPr>
          <w:u w:val="single"/>
        </w:rPr>
        <w:tab/>
      </w:r>
    </w:p>
    <w:p w:rsidR="00343495" w:rsidRDefault="00343495">
      <w:pPr>
        <w:pStyle w:val="BodyText"/>
        <w:spacing w:before="2"/>
        <w:rPr>
          <w:b/>
          <w:sz w:val="16"/>
        </w:rPr>
      </w:pPr>
    </w:p>
    <w:p w:rsidR="00343495" w:rsidRDefault="00E00FCD">
      <w:pPr>
        <w:tabs>
          <w:tab w:val="left" w:pos="2195"/>
          <w:tab w:val="left" w:pos="2437"/>
          <w:tab w:val="left" w:pos="5238"/>
          <w:tab w:val="left" w:pos="7688"/>
        </w:tabs>
        <w:spacing w:before="90"/>
        <w:ind w:left="462"/>
        <w:rPr>
          <w:b/>
          <w:sz w:val="24"/>
        </w:rPr>
      </w:pPr>
      <w:r>
        <w:rPr>
          <w:b/>
          <w:sz w:val="24"/>
        </w:rPr>
        <w:t>Major</w:t>
      </w:r>
      <w:r>
        <w:rPr>
          <w:b/>
          <w:sz w:val="24"/>
          <w:u w:val="single"/>
        </w:rPr>
        <w:t xml:space="preserve"> </w:t>
      </w:r>
      <w:r>
        <w:rPr>
          <w:b/>
          <w:sz w:val="24"/>
          <w:u w:val="single"/>
        </w:rPr>
        <w:tab/>
      </w:r>
      <w:r>
        <w:rPr>
          <w:b/>
          <w:sz w:val="24"/>
        </w:rPr>
        <w:tab/>
      </w:r>
      <w:bookmarkStart w:id="1" w:name="Concentration"/>
      <w:bookmarkEnd w:id="1"/>
      <w:r>
        <w:rPr>
          <w:b/>
          <w:sz w:val="24"/>
        </w:rPr>
        <w:t>Concentration</w:t>
      </w:r>
      <w:r>
        <w:rPr>
          <w:b/>
          <w:sz w:val="24"/>
          <w:u w:val="single"/>
        </w:rPr>
        <w:t xml:space="preserve"> </w:t>
      </w:r>
      <w:r>
        <w:rPr>
          <w:b/>
          <w:sz w:val="24"/>
          <w:u w:val="single"/>
        </w:rPr>
        <w:tab/>
      </w:r>
      <w:r>
        <w:rPr>
          <w:b/>
          <w:sz w:val="24"/>
        </w:rPr>
        <w:t>Minor</w:t>
      </w:r>
      <w:r>
        <w:rPr>
          <w:b/>
          <w:sz w:val="24"/>
          <w:u w:val="single"/>
        </w:rPr>
        <w:t xml:space="preserve"> </w:t>
      </w:r>
      <w:r>
        <w:rPr>
          <w:b/>
          <w:sz w:val="24"/>
          <w:u w:val="single"/>
        </w:rPr>
        <w:tab/>
      </w:r>
    </w:p>
    <w:p w:rsidR="00343495" w:rsidRDefault="00343495">
      <w:pPr>
        <w:pStyle w:val="BodyText"/>
        <w:rPr>
          <w:b/>
        </w:rPr>
      </w:pPr>
    </w:p>
    <w:p w:rsidR="00343495" w:rsidRDefault="00343495">
      <w:pPr>
        <w:pStyle w:val="BodyText"/>
        <w:rPr>
          <w:b/>
        </w:rPr>
      </w:pPr>
    </w:p>
    <w:p w:rsidR="00343495" w:rsidRDefault="00343495">
      <w:pPr>
        <w:pStyle w:val="BodyText"/>
        <w:spacing w:before="4" w:after="1"/>
        <w:rPr>
          <w:b/>
          <w:sz w:val="15"/>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1560"/>
        <w:gridCol w:w="4805"/>
        <w:gridCol w:w="1834"/>
        <w:gridCol w:w="1402"/>
        <w:gridCol w:w="1253"/>
      </w:tblGrid>
      <w:tr w:rsidR="00343495">
        <w:trPr>
          <w:trHeight w:val="460"/>
        </w:trPr>
        <w:tc>
          <w:tcPr>
            <w:tcW w:w="756" w:type="dxa"/>
          </w:tcPr>
          <w:p w:rsidR="00343495" w:rsidRDefault="00343495">
            <w:pPr>
              <w:pStyle w:val="TableParagraph"/>
            </w:pPr>
          </w:p>
        </w:tc>
        <w:tc>
          <w:tcPr>
            <w:tcW w:w="1560" w:type="dxa"/>
          </w:tcPr>
          <w:p w:rsidR="00343495" w:rsidRDefault="00E00FCD">
            <w:pPr>
              <w:pStyle w:val="TableParagraph"/>
              <w:spacing w:line="230" w:lineRule="atLeast"/>
              <w:ind w:left="112" w:right="171"/>
              <w:rPr>
                <w:b/>
                <w:sz w:val="20"/>
              </w:rPr>
            </w:pPr>
            <w:r>
              <w:rPr>
                <w:b/>
                <w:sz w:val="20"/>
              </w:rPr>
              <w:t xml:space="preserve">Course </w:t>
            </w:r>
            <w:r>
              <w:rPr>
                <w:b/>
                <w:w w:val="95"/>
                <w:sz w:val="20"/>
              </w:rPr>
              <w:t>Number</w:t>
            </w:r>
          </w:p>
        </w:tc>
        <w:tc>
          <w:tcPr>
            <w:tcW w:w="4805" w:type="dxa"/>
          </w:tcPr>
          <w:p w:rsidR="00343495" w:rsidRDefault="00E00FCD">
            <w:pPr>
              <w:pStyle w:val="TableParagraph"/>
              <w:ind w:left="107"/>
              <w:rPr>
                <w:b/>
                <w:sz w:val="20"/>
              </w:rPr>
            </w:pPr>
            <w:r>
              <w:rPr>
                <w:b/>
                <w:sz w:val="20"/>
              </w:rPr>
              <w:t>Title</w:t>
            </w:r>
          </w:p>
        </w:tc>
        <w:tc>
          <w:tcPr>
            <w:tcW w:w="1834" w:type="dxa"/>
          </w:tcPr>
          <w:p w:rsidR="00343495" w:rsidRDefault="00E00FCD">
            <w:pPr>
              <w:pStyle w:val="TableParagraph"/>
              <w:ind w:left="107"/>
              <w:rPr>
                <w:b/>
                <w:sz w:val="20"/>
              </w:rPr>
            </w:pPr>
            <w:r>
              <w:rPr>
                <w:b/>
                <w:sz w:val="20"/>
              </w:rPr>
              <w:t>Instructor</w:t>
            </w:r>
          </w:p>
        </w:tc>
        <w:tc>
          <w:tcPr>
            <w:tcW w:w="1402" w:type="dxa"/>
          </w:tcPr>
          <w:p w:rsidR="00343495" w:rsidRDefault="00E00FCD">
            <w:pPr>
              <w:pStyle w:val="TableParagraph"/>
              <w:spacing w:line="230" w:lineRule="atLeast"/>
              <w:ind w:left="112" w:right="83"/>
              <w:rPr>
                <w:b/>
                <w:sz w:val="20"/>
              </w:rPr>
            </w:pPr>
            <w:r>
              <w:rPr>
                <w:b/>
                <w:w w:val="95"/>
                <w:sz w:val="20"/>
              </w:rPr>
              <w:t xml:space="preserve">Semester </w:t>
            </w:r>
            <w:r>
              <w:rPr>
                <w:b/>
                <w:sz w:val="20"/>
              </w:rPr>
              <w:t>taken</w:t>
            </w:r>
          </w:p>
        </w:tc>
        <w:tc>
          <w:tcPr>
            <w:tcW w:w="1253" w:type="dxa"/>
          </w:tcPr>
          <w:p w:rsidR="00343495" w:rsidRDefault="00E00FCD">
            <w:pPr>
              <w:pStyle w:val="TableParagraph"/>
              <w:spacing w:line="222" w:lineRule="exact"/>
              <w:ind w:left="106"/>
              <w:rPr>
                <w:b/>
                <w:sz w:val="20"/>
              </w:rPr>
            </w:pPr>
            <w:r>
              <w:rPr>
                <w:b/>
                <w:sz w:val="20"/>
              </w:rPr>
              <w:t>Codes</w:t>
            </w:r>
          </w:p>
          <w:p w:rsidR="00343495" w:rsidRDefault="00E00FCD">
            <w:pPr>
              <w:pStyle w:val="TableParagraph"/>
              <w:spacing w:line="218" w:lineRule="exact"/>
              <w:ind w:left="106"/>
              <w:rPr>
                <w:b/>
                <w:sz w:val="20"/>
              </w:rPr>
            </w:pPr>
            <w:r>
              <w:rPr>
                <w:b/>
                <w:sz w:val="20"/>
              </w:rPr>
              <w:t>(see below)</w:t>
            </w:r>
          </w:p>
        </w:tc>
      </w:tr>
      <w:tr w:rsidR="00343495">
        <w:trPr>
          <w:trHeight w:val="412"/>
        </w:trPr>
        <w:tc>
          <w:tcPr>
            <w:tcW w:w="756" w:type="dxa"/>
          </w:tcPr>
          <w:p w:rsidR="00343495" w:rsidRDefault="00E00FCD">
            <w:pPr>
              <w:pStyle w:val="TableParagraph"/>
              <w:ind w:left="242" w:right="213"/>
              <w:jc w:val="center"/>
              <w:rPr>
                <w:b/>
                <w:sz w:val="20"/>
              </w:rPr>
            </w:pPr>
            <w:r>
              <w:rPr>
                <w:b/>
                <w:sz w:val="20"/>
              </w:rPr>
              <w:t>1.</w:t>
            </w:r>
          </w:p>
        </w:tc>
        <w:tc>
          <w:tcPr>
            <w:tcW w:w="1560" w:type="dxa"/>
          </w:tcPr>
          <w:p w:rsidR="00343495" w:rsidRDefault="00E00FCD">
            <w:pPr>
              <w:pStyle w:val="TableParagraph"/>
              <w:spacing w:line="181" w:lineRule="exact"/>
              <w:ind w:left="112"/>
              <w:rPr>
                <w:sz w:val="16"/>
              </w:rPr>
            </w:pPr>
            <w:r>
              <w:rPr>
                <w:sz w:val="16"/>
              </w:rPr>
              <w:t>ENGL 2000/2001</w:t>
            </w:r>
          </w:p>
        </w:tc>
        <w:tc>
          <w:tcPr>
            <w:tcW w:w="4805" w:type="dxa"/>
          </w:tcPr>
          <w:p w:rsidR="00343495" w:rsidRDefault="00E00FCD">
            <w:pPr>
              <w:pStyle w:val="TableParagraph"/>
              <w:spacing w:line="181" w:lineRule="exact"/>
              <w:ind w:left="107"/>
              <w:rPr>
                <w:sz w:val="16"/>
              </w:rPr>
            </w:pPr>
            <w:r>
              <w:rPr>
                <w:sz w:val="16"/>
              </w:rPr>
              <w:t>Approaches to Literary Study</w:t>
            </w:r>
          </w:p>
        </w:tc>
        <w:tc>
          <w:tcPr>
            <w:tcW w:w="1834" w:type="dxa"/>
          </w:tcPr>
          <w:p w:rsidR="00343495" w:rsidRDefault="00343495">
            <w:pPr>
              <w:pStyle w:val="TableParagraph"/>
            </w:pPr>
          </w:p>
        </w:tc>
        <w:tc>
          <w:tcPr>
            <w:tcW w:w="1402" w:type="dxa"/>
          </w:tcPr>
          <w:p w:rsidR="00343495" w:rsidRDefault="00343495">
            <w:pPr>
              <w:pStyle w:val="TableParagraph"/>
            </w:pPr>
          </w:p>
        </w:tc>
        <w:tc>
          <w:tcPr>
            <w:tcW w:w="1253" w:type="dxa"/>
          </w:tcPr>
          <w:p w:rsidR="00343495" w:rsidRDefault="00E00FCD">
            <w:pPr>
              <w:pStyle w:val="TableParagraph"/>
              <w:spacing w:line="181" w:lineRule="exact"/>
              <w:ind w:left="106"/>
              <w:rPr>
                <w:sz w:val="16"/>
              </w:rPr>
            </w:pPr>
            <w:r>
              <w:rPr>
                <w:sz w:val="16"/>
              </w:rPr>
              <w:t>n/a</w:t>
            </w:r>
          </w:p>
        </w:tc>
      </w:tr>
      <w:tr w:rsidR="00343495">
        <w:trPr>
          <w:trHeight w:val="417"/>
        </w:trPr>
        <w:tc>
          <w:tcPr>
            <w:tcW w:w="756" w:type="dxa"/>
          </w:tcPr>
          <w:p w:rsidR="00343495" w:rsidRDefault="00E00FCD">
            <w:pPr>
              <w:pStyle w:val="TableParagraph"/>
              <w:ind w:left="242" w:right="213"/>
              <w:jc w:val="center"/>
              <w:rPr>
                <w:b/>
                <w:sz w:val="20"/>
              </w:rPr>
            </w:pPr>
            <w:r>
              <w:rPr>
                <w:b/>
                <w:sz w:val="20"/>
              </w:rPr>
              <w:t>2.</w:t>
            </w:r>
          </w:p>
        </w:tc>
        <w:tc>
          <w:tcPr>
            <w:tcW w:w="1560" w:type="dxa"/>
          </w:tcPr>
          <w:p w:rsidR="00343495" w:rsidRDefault="00343495">
            <w:pPr>
              <w:pStyle w:val="TableParagraph"/>
            </w:pPr>
          </w:p>
        </w:tc>
        <w:tc>
          <w:tcPr>
            <w:tcW w:w="4805" w:type="dxa"/>
          </w:tcPr>
          <w:p w:rsidR="00343495" w:rsidRDefault="00343495">
            <w:pPr>
              <w:pStyle w:val="TableParagraph"/>
            </w:pPr>
          </w:p>
        </w:tc>
        <w:tc>
          <w:tcPr>
            <w:tcW w:w="1834" w:type="dxa"/>
          </w:tcPr>
          <w:p w:rsidR="00343495" w:rsidRDefault="00343495">
            <w:pPr>
              <w:pStyle w:val="TableParagraph"/>
            </w:pPr>
          </w:p>
        </w:tc>
        <w:tc>
          <w:tcPr>
            <w:tcW w:w="1402" w:type="dxa"/>
          </w:tcPr>
          <w:p w:rsidR="00343495" w:rsidRDefault="00343495">
            <w:pPr>
              <w:pStyle w:val="TableParagraph"/>
            </w:pPr>
          </w:p>
        </w:tc>
        <w:tc>
          <w:tcPr>
            <w:tcW w:w="1253" w:type="dxa"/>
          </w:tcPr>
          <w:p w:rsidR="00343495" w:rsidRDefault="00343495">
            <w:pPr>
              <w:pStyle w:val="TableParagraph"/>
            </w:pPr>
          </w:p>
        </w:tc>
      </w:tr>
      <w:tr w:rsidR="00343495">
        <w:trPr>
          <w:trHeight w:val="409"/>
        </w:trPr>
        <w:tc>
          <w:tcPr>
            <w:tcW w:w="756" w:type="dxa"/>
          </w:tcPr>
          <w:p w:rsidR="00343495" w:rsidRDefault="00E00FCD">
            <w:pPr>
              <w:pStyle w:val="TableParagraph"/>
              <w:ind w:left="242" w:right="213"/>
              <w:jc w:val="center"/>
              <w:rPr>
                <w:b/>
                <w:sz w:val="20"/>
              </w:rPr>
            </w:pPr>
            <w:r>
              <w:rPr>
                <w:b/>
                <w:sz w:val="20"/>
              </w:rPr>
              <w:t>3.</w:t>
            </w:r>
          </w:p>
        </w:tc>
        <w:tc>
          <w:tcPr>
            <w:tcW w:w="1560" w:type="dxa"/>
          </w:tcPr>
          <w:p w:rsidR="00343495" w:rsidRDefault="00343495">
            <w:pPr>
              <w:pStyle w:val="TableParagraph"/>
            </w:pPr>
          </w:p>
        </w:tc>
        <w:tc>
          <w:tcPr>
            <w:tcW w:w="4805" w:type="dxa"/>
          </w:tcPr>
          <w:p w:rsidR="00343495" w:rsidRDefault="00343495">
            <w:pPr>
              <w:pStyle w:val="TableParagraph"/>
            </w:pPr>
          </w:p>
        </w:tc>
        <w:tc>
          <w:tcPr>
            <w:tcW w:w="1834" w:type="dxa"/>
          </w:tcPr>
          <w:p w:rsidR="00343495" w:rsidRDefault="00343495">
            <w:pPr>
              <w:pStyle w:val="TableParagraph"/>
            </w:pPr>
          </w:p>
        </w:tc>
        <w:tc>
          <w:tcPr>
            <w:tcW w:w="1402" w:type="dxa"/>
          </w:tcPr>
          <w:p w:rsidR="00343495" w:rsidRDefault="00343495">
            <w:pPr>
              <w:pStyle w:val="TableParagraph"/>
            </w:pPr>
          </w:p>
        </w:tc>
        <w:tc>
          <w:tcPr>
            <w:tcW w:w="1253" w:type="dxa"/>
          </w:tcPr>
          <w:p w:rsidR="00343495" w:rsidRDefault="00343495">
            <w:pPr>
              <w:pStyle w:val="TableParagraph"/>
            </w:pPr>
          </w:p>
        </w:tc>
      </w:tr>
      <w:tr w:rsidR="00343495">
        <w:trPr>
          <w:trHeight w:val="412"/>
        </w:trPr>
        <w:tc>
          <w:tcPr>
            <w:tcW w:w="756" w:type="dxa"/>
          </w:tcPr>
          <w:p w:rsidR="00343495" w:rsidRDefault="00E00FCD">
            <w:pPr>
              <w:pStyle w:val="TableParagraph"/>
              <w:ind w:left="242" w:right="213"/>
              <w:jc w:val="center"/>
              <w:rPr>
                <w:b/>
                <w:sz w:val="20"/>
              </w:rPr>
            </w:pPr>
            <w:r>
              <w:rPr>
                <w:b/>
                <w:sz w:val="20"/>
              </w:rPr>
              <w:t>4.</w:t>
            </w:r>
          </w:p>
        </w:tc>
        <w:tc>
          <w:tcPr>
            <w:tcW w:w="1560" w:type="dxa"/>
          </w:tcPr>
          <w:p w:rsidR="00343495" w:rsidRDefault="00343495">
            <w:pPr>
              <w:pStyle w:val="TableParagraph"/>
            </w:pPr>
          </w:p>
        </w:tc>
        <w:tc>
          <w:tcPr>
            <w:tcW w:w="4805" w:type="dxa"/>
          </w:tcPr>
          <w:p w:rsidR="00343495" w:rsidRDefault="00343495">
            <w:pPr>
              <w:pStyle w:val="TableParagraph"/>
            </w:pPr>
          </w:p>
        </w:tc>
        <w:tc>
          <w:tcPr>
            <w:tcW w:w="1834" w:type="dxa"/>
          </w:tcPr>
          <w:p w:rsidR="00343495" w:rsidRDefault="00343495">
            <w:pPr>
              <w:pStyle w:val="TableParagraph"/>
            </w:pPr>
          </w:p>
        </w:tc>
        <w:tc>
          <w:tcPr>
            <w:tcW w:w="1402" w:type="dxa"/>
          </w:tcPr>
          <w:p w:rsidR="00343495" w:rsidRDefault="00343495">
            <w:pPr>
              <w:pStyle w:val="TableParagraph"/>
            </w:pPr>
          </w:p>
        </w:tc>
        <w:tc>
          <w:tcPr>
            <w:tcW w:w="1253" w:type="dxa"/>
          </w:tcPr>
          <w:p w:rsidR="00343495" w:rsidRDefault="00343495">
            <w:pPr>
              <w:pStyle w:val="TableParagraph"/>
            </w:pPr>
          </w:p>
        </w:tc>
      </w:tr>
      <w:tr w:rsidR="00343495">
        <w:trPr>
          <w:trHeight w:val="417"/>
        </w:trPr>
        <w:tc>
          <w:tcPr>
            <w:tcW w:w="756" w:type="dxa"/>
          </w:tcPr>
          <w:p w:rsidR="00343495" w:rsidRDefault="00E00FCD">
            <w:pPr>
              <w:pStyle w:val="TableParagraph"/>
              <w:ind w:left="242" w:right="213"/>
              <w:jc w:val="center"/>
              <w:rPr>
                <w:b/>
                <w:sz w:val="20"/>
              </w:rPr>
            </w:pPr>
            <w:r>
              <w:rPr>
                <w:b/>
                <w:sz w:val="20"/>
              </w:rPr>
              <w:t>5.</w:t>
            </w:r>
          </w:p>
        </w:tc>
        <w:tc>
          <w:tcPr>
            <w:tcW w:w="1560" w:type="dxa"/>
          </w:tcPr>
          <w:p w:rsidR="00343495" w:rsidRDefault="00343495">
            <w:pPr>
              <w:pStyle w:val="TableParagraph"/>
            </w:pPr>
          </w:p>
        </w:tc>
        <w:tc>
          <w:tcPr>
            <w:tcW w:w="4805" w:type="dxa"/>
          </w:tcPr>
          <w:p w:rsidR="00343495" w:rsidRDefault="00343495">
            <w:pPr>
              <w:pStyle w:val="TableParagraph"/>
            </w:pPr>
          </w:p>
        </w:tc>
        <w:tc>
          <w:tcPr>
            <w:tcW w:w="1834" w:type="dxa"/>
          </w:tcPr>
          <w:p w:rsidR="00343495" w:rsidRDefault="00343495">
            <w:pPr>
              <w:pStyle w:val="TableParagraph"/>
            </w:pPr>
          </w:p>
        </w:tc>
        <w:tc>
          <w:tcPr>
            <w:tcW w:w="1402" w:type="dxa"/>
          </w:tcPr>
          <w:p w:rsidR="00343495" w:rsidRDefault="00343495">
            <w:pPr>
              <w:pStyle w:val="TableParagraph"/>
            </w:pPr>
          </w:p>
        </w:tc>
        <w:tc>
          <w:tcPr>
            <w:tcW w:w="1253" w:type="dxa"/>
          </w:tcPr>
          <w:p w:rsidR="00343495" w:rsidRDefault="00343495">
            <w:pPr>
              <w:pStyle w:val="TableParagraph"/>
            </w:pPr>
          </w:p>
        </w:tc>
      </w:tr>
      <w:tr w:rsidR="00343495">
        <w:trPr>
          <w:trHeight w:val="412"/>
        </w:trPr>
        <w:tc>
          <w:tcPr>
            <w:tcW w:w="756" w:type="dxa"/>
          </w:tcPr>
          <w:p w:rsidR="00343495" w:rsidRDefault="00E00FCD">
            <w:pPr>
              <w:pStyle w:val="TableParagraph"/>
              <w:ind w:left="242" w:right="213"/>
              <w:jc w:val="center"/>
              <w:rPr>
                <w:b/>
                <w:sz w:val="20"/>
              </w:rPr>
            </w:pPr>
            <w:r>
              <w:rPr>
                <w:b/>
                <w:sz w:val="20"/>
              </w:rPr>
              <w:t>6.</w:t>
            </w:r>
          </w:p>
        </w:tc>
        <w:tc>
          <w:tcPr>
            <w:tcW w:w="1560" w:type="dxa"/>
          </w:tcPr>
          <w:p w:rsidR="00343495" w:rsidRDefault="00343495">
            <w:pPr>
              <w:pStyle w:val="TableParagraph"/>
            </w:pPr>
          </w:p>
        </w:tc>
        <w:tc>
          <w:tcPr>
            <w:tcW w:w="4805" w:type="dxa"/>
          </w:tcPr>
          <w:p w:rsidR="00343495" w:rsidRDefault="00343495">
            <w:pPr>
              <w:pStyle w:val="TableParagraph"/>
            </w:pPr>
          </w:p>
        </w:tc>
        <w:tc>
          <w:tcPr>
            <w:tcW w:w="1834" w:type="dxa"/>
          </w:tcPr>
          <w:p w:rsidR="00343495" w:rsidRDefault="00343495">
            <w:pPr>
              <w:pStyle w:val="TableParagraph"/>
            </w:pPr>
          </w:p>
        </w:tc>
        <w:tc>
          <w:tcPr>
            <w:tcW w:w="1402" w:type="dxa"/>
          </w:tcPr>
          <w:p w:rsidR="00343495" w:rsidRDefault="00343495">
            <w:pPr>
              <w:pStyle w:val="TableParagraph"/>
            </w:pPr>
          </w:p>
        </w:tc>
        <w:tc>
          <w:tcPr>
            <w:tcW w:w="1253" w:type="dxa"/>
          </w:tcPr>
          <w:p w:rsidR="00343495" w:rsidRDefault="00343495">
            <w:pPr>
              <w:pStyle w:val="TableParagraph"/>
            </w:pPr>
          </w:p>
        </w:tc>
      </w:tr>
      <w:tr w:rsidR="00343495">
        <w:trPr>
          <w:trHeight w:val="412"/>
        </w:trPr>
        <w:tc>
          <w:tcPr>
            <w:tcW w:w="756" w:type="dxa"/>
          </w:tcPr>
          <w:p w:rsidR="00343495" w:rsidRDefault="00E00FCD">
            <w:pPr>
              <w:pStyle w:val="TableParagraph"/>
              <w:ind w:left="242" w:right="213"/>
              <w:jc w:val="center"/>
              <w:rPr>
                <w:b/>
                <w:sz w:val="20"/>
              </w:rPr>
            </w:pPr>
            <w:r>
              <w:rPr>
                <w:b/>
                <w:sz w:val="20"/>
              </w:rPr>
              <w:t>7.</w:t>
            </w:r>
          </w:p>
        </w:tc>
        <w:tc>
          <w:tcPr>
            <w:tcW w:w="1560" w:type="dxa"/>
          </w:tcPr>
          <w:p w:rsidR="00343495" w:rsidRDefault="00343495">
            <w:pPr>
              <w:pStyle w:val="TableParagraph"/>
            </w:pPr>
          </w:p>
        </w:tc>
        <w:tc>
          <w:tcPr>
            <w:tcW w:w="4805" w:type="dxa"/>
          </w:tcPr>
          <w:p w:rsidR="00343495" w:rsidRDefault="00343495">
            <w:pPr>
              <w:pStyle w:val="TableParagraph"/>
            </w:pPr>
          </w:p>
        </w:tc>
        <w:tc>
          <w:tcPr>
            <w:tcW w:w="1834" w:type="dxa"/>
          </w:tcPr>
          <w:p w:rsidR="00343495" w:rsidRDefault="00343495">
            <w:pPr>
              <w:pStyle w:val="TableParagraph"/>
            </w:pPr>
          </w:p>
        </w:tc>
        <w:tc>
          <w:tcPr>
            <w:tcW w:w="1402" w:type="dxa"/>
          </w:tcPr>
          <w:p w:rsidR="00343495" w:rsidRDefault="00343495">
            <w:pPr>
              <w:pStyle w:val="TableParagraph"/>
            </w:pPr>
          </w:p>
        </w:tc>
        <w:tc>
          <w:tcPr>
            <w:tcW w:w="1253" w:type="dxa"/>
          </w:tcPr>
          <w:p w:rsidR="00343495" w:rsidRDefault="00343495">
            <w:pPr>
              <w:pStyle w:val="TableParagraph"/>
            </w:pPr>
          </w:p>
        </w:tc>
      </w:tr>
      <w:tr w:rsidR="00343495">
        <w:trPr>
          <w:trHeight w:val="417"/>
        </w:trPr>
        <w:tc>
          <w:tcPr>
            <w:tcW w:w="756" w:type="dxa"/>
          </w:tcPr>
          <w:p w:rsidR="00343495" w:rsidRDefault="00E00FCD">
            <w:pPr>
              <w:pStyle w:val="TableParagraph"/>
              <w:ind w:left="242" w:right="213"/>
              <w:jc w:val="center"/>
              <w:rPr>
                <w:b/>
                <w:sz w:val="20"/>
              </w:rPr>
            </w:pPr>
            <w:r>
              <w:rPr>
                <w:b/>
                <w:sz w:val="20"/>
              </w:rPr>
              <w:t>8.</w:t>
            </w:r>
          </w:p>
        </w:tc>
        <w:tc>
          <w:tcPr>
            <w:tcW w:w="1560" w:type="dxa"/>
          </w:tcPr>
          <w:p w:rsidR="00343495" w:rsidRDefault="00343495">
            <w:pPr>
              <w:pStyle w:val="TableParagraph"/>
            </w:pPr>
          </w:p>
        </w:tc>
        <w:tc>
          <w:tcPr>
            <w:tcW w:w="4805" w:type="dxa"/>
          </w:tcPr>
          <w:p w:rsidR="00343495" w:rsidRDefault="00343495">
            <w:pPr>
              <w:pStyle w:val="TableParagraph"/>
            </w:pPr>
          </w:p>
        </w:tc>
        <w:tc>
          <w:tcPr>
            <w:tcW w:w="1834" w:type="dxa"/>
          </w:tcPr>
          <w:p w:rsidR="00343495" w:rsidRDefault="00343495">
            <w:pPr>
              <w:pStyle w:val="TableParagraph"/>
            </w:pPr>
          </w:p>
        </w:tc>
        <w:tc>
          <w:tcPr>
            <w:tcW w:w="1402" w:type="dxa"/>
          </w:tcPr>
          <w:p w:rsidR="00343495" w:rsidRDefault="00343495">
            <w:pPr>
              <w:pStyle w:val="TableParagraph"/>
            </w:pPr>
          </w:p>
        </w:tc>
        <w:tc>
          <w:tcPr>
            <w:tcW w:w="1253" w:type="dxa"/>
          </w:tcPr>
          <w:p w:rsidR="00343495" w:rsidRDefault="00343495">
            <w:pPr>
              <w:pStyle w:val="TableParagraph"/>
            </w:pPr>
          </w:p>
        </w:tc>
      </w:tr>
      <w:tr w:rsidR="00343495">
        <w:trPr>
          <w:trHeight w:val="388"/>
        </w:trPr>
        <w:tc>
          <w:tcPr>
            <w:tcW w:w="756" w:type="dxa"/>
          </w:tcPr>
          <w:p w:rsidR="00343495" w:rsidRDefault="00E00FCD">
            <w:pPr>
              <w:pStyle w:val="TableParagraph"/>
              <w:spacing w:line="204" w:lineRule="exact"/>
              <w:ind w:left="242" w:right="213"/>
              <w:jc w:val="center"/>
              <w:rPr>
                <w:b/>
                <w:sz w:val="18"/>
              </w:rPr>
            </w:pPr>
            <w:r>
              <w:rPr>
                <w:b/>
                <w:sz w:val="18"/>
              </w:rPr>
              <w:t>9.</w:t>
            </w:r>
          </w:p>
        </w:tc>
        <w:tc>
          <w:tcPr>
            <w:tcW w:w="1560" w:type="dxa"/>
          </w:tcPr>
          <w:p w:rsidR="00343495" w:rsidRDefault="00343495">
            <w:pPr>
              <w:pStyle w:val="TableParagraph"/>
            </w:pPr>
          </w:p>
        </w:tc>
        <w:tc>
          <w:tcPr>
            <w:tcW w:w="4805" w:type="dxa"/>
          </w:tcPr>
          <w:p w:rsidR="00343495" w:rsidRDefault="00343495">
            <w:pPr>
              <w:pStyle w:val="TableParagraph"/>
            </w:pPr>
          </w:p>
        </w:tc>
        <w:tc>
          <w:tcPr>
            <w:tcW w:w="1834" w:type="dxa"/>
          </w:tcPr>
          <w:p w:rsidR="00343495" w:rsidRDefault="00343495">
            <w:pPr>
              <w:pStyle w:val="TableParagraph"/>
            </w:pPr>
          </w:p>
        </w:tc>
        <w:tc>
          <w:tcPr>
            <w:tcW w:w="1402" w:type="dxa"/>
          </w:tcPr>
          <w:p w:rsidR="00343495" w:rsidRDefault="00343495">
            <w:pPr>
              <w:pStyle w:val="TableParagraph"/>
            </w:pPr>
          </w:p>
        </w:tc>
        <w:tc>
          <w:tcPr>
            <w:tcW w:w="1253" w:type="dxa"/>
          </w:tcPr>
          <w:p w:rsidR="00343495" w:rsidRDefault="00343495">
            <w:pPr>
              <w:pStyle w:val="TableParagraph"/>
            </w:pPr>
          </w:p>
        </w:tc>
      </w:tr>
      <w:tr w:rsidR="00343495">
        <w:trPr>
          <w:trHeight w:val="417"/>
        </w:trPr>
        <w:tc>
          <w:tcPr>
            <w:tcW w:w="756" w:type="dxa"/>
          </w:tcPr>
          <w:p w:rsidR="00343495" w:rsidRDefault="00E00FCD">
            <w:pPr>
              <w:pStyle w:val="TableParagraph"/>
              <w:ind w:left="242" w:right="213"/>
              <w:jc w:val="center"/>
              <w:rPr>
                <w:b/>
                <w:sz w:val="20"/>
              </w:rPr>
            </w:pPr>
            <w:r>
              <w:rPr>
                <w:b/>
                <w:sz w:val="20"/>
              </w:rPr>
              <w:t>10.</w:t>
            </w:r>
          </w:p>
        </w:tc>
        <w:tc>
          <w:tcPr>
            <w:tcW w:w="1560" w:type="dxa"/>
          </w:tcPr>
          <w:p w:rsidR="00343495" w:rsidRDefault="00343495">
            <w:pPr>
              <w:pStyle w:val="TableParagraph"/>
            </w:pPr>
          </w:p>
        </w:tc>
        <w:tc>
          <w:tcPr>
            <w:tcW w:w="4805" w:type="dxa"/>
          </w:tcPr>
          <w:p w:rsidR="00343495" w:rsidRDefault="00343495">
            <w:pPr>
              <w:pStyle w:val="TableParagraph"/>
            </w:pPr>
          </w:p>
        </w:tc>
        <w:tc>
          <w:tcPr>
            <w:tcW w:w="1834" w:type="dxa"/>
          </w:tcPr>
          <w:p w:rsidR="00343495" w:rsidRDefault="00343495">
            <w:pPr>
              <w:pStyle w:val="TableParagraph"/>
            </w:pPr>
          </w:p>
        </w:tc>
        <w:tc>
          <w:tcPr>
            <w:tcW w:w="1402" w:type="dxa"/>
          </w:tcPr>
          <w:p w:rsidR="00343495" w:rsidRDefault="00343495">
            <w:pPr>
              <w:pStyle w:val="TableParagraph"/>
            </w:pPr>
          </w:p>
        </w:tc>
        <w:tc>
          <w:tcPr>
            <w:tcW w:w="1253" w:type="dxa"/>
          </w:tcPr>
          <w:p w:rsidR="00343495" w:rsidRDefault="00343495">
            <w:pPr>
              <w:pStyle w:val="TableParagraph"/>
            </w:pPr>
          </w:p>
        </w:tc>
      </w:tr>
    </w:tbl>
    <w:p w:rsidR="00343495" w:rsidRDefault="00343495">
      <w:pPr>
        <w:pStyle w:val="BodyText"/>
        <w:rPr>
          <w:b/>
        </w:rPr>
      </w:pPr>
    </w:p>
    <w:p w:rsidR="00343495" w:rsidRDefault="00343495">
      <w:pPr>
        <w:pStyle w:val="BodyText"/>
        <w:rPr>
          <w:b/>
        </w:rPr>
      </w:pPr>
    </w:p>
    <w:p w:rsidR="00343495" w:rsidRDefault="00343495">
      <w:pPr>
        <w:pStyle w:val="BodyText"/>
        <w:spacing w:before="1"/>
        <w:rPr>
          <w:b/>
        </w:rPr>
      </w:pPr>
    </w:p>
    <w:p w:rsidR="00343495" w:rsidRDefault="00E00FCD">
      <w:pPr>
        <w:spacing w:before="90"/>
        <w:ind w:left="462"/>
        <w:rPr>
          <w:b/>
        </w:rPr>
      </w:pPr>
      <w:r>
        <w:rPr>
          <w:b/>
          <w:w w:val="110"/>
          <w:sz w:val="24"/>
        </w:rPr>
        <w:t>DISTRIBUTION CODES (</w:t>
      </w:r>
      <w:r>
        <w:rPr>
          <w:b/>
          <w:w w:val="110"/>
        </w:rPr>
        <w:t xml:space="preserve">note that these </w:t>
      </w:r>
      <w:r>
        <w:rPr>
          <w:b/>
          <w:i/>
          <w:w w:val="110"/>
        </w:rPr>
        <w:t xml:space="preserve">must </w:t>
      </w:r>
      <w:r>
        <w:rPr>
          <w:b/>
          <w:w w:val="110"/>
        </w:rPr>
        <w:t>be fulfilled with ENGL/CLEN courses)</w:t>
      </w:r>
    </w:p>
    <w:p w:rsidR="00343495" w:rsidRDefault="00343495">
      <w:pPr>
        <w:pStyle w:val="BodyText"/>
        <w:rPr>
          <w:b/>
        </w:rPr>
      </w:pPr>
    </w:p>
    <w:p w:rsidR="00343495" w:rsidRDefault="00343495">
      <w:pPr>
        <w:pStyle w:val="BodyText"/>
        <w:spacing w:before="2"/>
        <w:rPr>
          <w:b/>
          <w:sz w:val="16"/>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720"/>
        <w:gridCol w:w="2702"/>
        <w:gridCol w:w="720"/>
        <w:gridCol w:w="3778"/>
        <w:gridCol w:w="665"/>
      </w:tblGrid>
      <w:tr w:rsidR="00343495">
        <w:trPr>
          <w:trHeight w:val="345"/>
        </w:trPr>
        <w:tc>
          <w:tcPr>
            <w:tcW w:w="2155" w:type="dxa"/>
          </w:tcPr>
          <w:p w:rsidR="00343495" w:rsidRDefault="00E00FCD">
            <w:pPr>
              <w:pStyle w:val="TableParagraph"/>
              <w:ind w:left="117"/>
              <w:rPr>
                <w:b/>
                <w:sz w:val="20"/>
              </w:rPr>
            </w:pPr>
            <w:r>
              <w:rPr>
                <w:b/>
                <w:sz w:val="20"/>
              </w:rPr>
              <w:t>CHRONOLOGY</w:t>
            </w:r>
          </w:p>
        </w:tc>
        <w:tc>
          <w:tcPr>
            <w:tcW w:w="720" w:type="dxa"/>
            <w:tcBorders>
              <w:top w:val="nil"/>
              <w:left w:val="nil"/>
              <w:bottom w:val="nil"/>
              <w:right w:val="nil"/>
            </w:tcBorders>
            <w:shd w:val="clear" w:color="auto" w:fill="000000"/>
          </w:tcPr>
          <w:p w:rsidR="00343495" w:rsidRDefault="00343495">
            <w:pPr>
              <w:pStyle w:val="TableParagraph"/>
            </w:pPr>
          </w:p>
        </w:tc>
        <w:tc>
          <w:tcPr>
            <w:tcW w:w="2702" w:type="dxa"/>
          </w:tcPr>
          <w:p w:rsidR="00343495" w:rsidRDefault="00E00FCD">
            <w:pPr>
              <w:pStyle w:val="TableParagraph"/>
              <w:ind w:left="112"/>
              <w:rPr>
                <w:b/>
                <w:sz w:val="20"/>
              </w:rPr>
            </w:pPr>
            <w:r>
              <w:rPr>
                <w:b/>
                <w:sz w:val="20"/>
              </w:rPr>
              <w:t>GENRE</w:t>
            </w:r>
          </w:p>
        </w:tc>
        <w:tc>
          <w:tcPr>
            <w:tcW w:w="720" w:type="dxa"/>
            <w:tcBorders>
              <w:top w:val="nil"/>
              <w:left w:val="nil"/>
              <w:bottom w:val="nil"/>
              <w:right w:val="nil"/>
            </w:tcBorders>
            <w:shd w:val="clear" w:color="auto" w:fill="000000"/>
          </w:tcPr>
          <w:p w:rsidR="00343495" w:rsidRDefault="00343495">
            <w:pPr>
              <w:pStyle w:val="TableParagraph"/>
            </w:pPr>
          </w:p>
        </w:tc>
        <w:tc>
          <w:tcPr>
            <w:tcW w:w="3778" w:type="dxa"/>
          </w:tcPr>
          <w:p w:rsidR="00343495" w:rsidRDefault="00E00FCD">
            <w:pPr>
              <w:pStyle w:val="TableParagraph"/>
              <w:ind w:left="113"/>
              <w:rPr>
                <w:b/>
                <w:sz w:val="20"/>
              </w:rPr>
            </w:pPr>
            <w:r>
              <w:rPr>
                <w:b/>
                <w:sz w:val="20"/>
              </w:rPr>
              <w:t>GEOGRAPHY and CULTURE</w:t>
            </w:r>
          </w:p>
        </w:tc>
        <w:tc>
          <w:tcPr>
            <w:tcW w:w="665" w:type="dxa"/>
            <w:tcBorders>
              <w:top w:val="nil"/>
              <w:left w:val="nil"/>
              <w:bottom w:val="nil"/>
              <w:right w:val="nil"/>
            </w:tcBorders>
            <w:shd w:val="clear" w:color="auto" w:fill="000000"/>
          </w:tcPr>
          <w:p w:rsidR="00343495" w:rsidRDefault="00343495">
            <w:pPr>
              <w:pStyle w:val="TableParagraph"/>
            </w:pPr>
          </w:p>
        </w:tc>
      </w:tr>
      <w:tr w:rsidR="00343495">
        <w:trPr>
          <w:trHeight w:val="625"/>
        </w:trPr>
        <w:tc>
          <w:tcPr>
            <w:tcW w:w="2155" w:type="dxa"/>
          </w:tcPr>
          <w:p w:rsidR="00343495" w:rsidRDefault="00E00FCD">
            <w:pPr>
              <w:pStyle w:val="TableParagraph"/>
              <w:ind w:left="117"/>
              <w:rPr>
                <w:sz w:val="20"/>
              </w:rPr>
            </w:pPr>
            <w:r>
              <w:rPr>
                <w:b/>
                <w:sz w:val="20"/>
              </w:rPr>
              <w:t xml:space="preserve">A1: </w:t>
            </w:r>
            <w:r>
              <w:rPr>
                <w:sz w:val="20"/>
              </w:rPr>
              <w:t>Pre-1700 (1)</w:t>
            </w:r>
          </w:p>
        </w:tc>
        <w:tc>
          <w:tcPr>
            <w:tcW w:w="720" w:type="dxa"/>
            <w:tcBorders>
              <w:top w:val="nil"/>
            </w:tcBorders>
          </w:tcPr>
          <w:p w:rsidR="00343495" w:rsidRDefault="00343495">
            <w:pPr>
              <w:pStyle w:val="TableParagraph"/>
            </w:pPr>
          </w:p>
        </w:tc>
        <w:tc>
          <w:tcPr>
            <w:tcW w:w="2702" w:type="dxa"/>
          </w:tcPr>
          <w:p w:rsidR="00343495" w:rsidRDefault="00E00FCD">
            <w:pPr>
              <w:pStyle w:val="TableParagraph"/>
              <w:ind w:left="112"/>
              <w:rPr>
                <w:sz w:val="20"/>
              </w:rPr>
            </w:pPr>
            <w:r>
              <w:rPr>
                <w:b/>
                <w:sz w:val="20"/>
              </w:rPr>
              <w:t xml:space="preserve">B: </w:t>
            </w:r>
            <w:r>
              <w:rPr>
                <w:sz w:val="20"/>
              </w:rPr>
              <w:t>Poetry</w:t>
            </w:r>
          </w:p>
        </w:tc>
        <w:tc>
          <w:tcPr>
            <w:tcW w:w="720" w:type="dxa"/>
            <w:tcBorders>
              <w:top w:val="nil"/>
            </w:tcBorders>
          </w:tcPr>
          <w:p w:rsidR="00343495" w:rsidRDefault="00343495">
            <w:pPr>
              <w:pStyle w:val="TableParagraph"/>
            </w:pPr>
          </w:p>
        </w:tc>
        <w:tc>
          <w:tcPr>
            <w:tcW w:w="3778" w:type="dxa"/>
          </w:tcPr>
          <w:p w:rsidR="00343495" w:rsidRDefault="00E00FCD">
            <w:pPr>
              <w:pStyle w:val="TableParagraph"/>
              <w:ind w:left="113"/>
              <w:rPr>
                <w:sz w:val="20"/>
              </w:rPr>
            </w:pPr>
            <w:r>
              <w:rPr>
                <w:b/>
                <w:sz w:val="20"/>
              </w:rPr>
              <w:t xml:space="preserve">E: </w:t>
            </w:r>
            <w:r>
              <w:rPr>
                <w:sz w:val="20"/>
              </w:rPr>
              <w:t>Ethnicity/Race</w:t>
            </w:r>
          </w:p>
        </w:tc>
        <w:tc>
          <w:tcPr>
            <w:tcW w:w="665" w:type="dxa"/>
            <w:tcBorders>
              <w:top w:val="nil"/>
            </w:tcBorders>
          </w:tcPr>
          <w:p w:rsidR="00343495" w:rsidRDefault="00343495">
            <w:pPr>
              <w:pStyle w:val="TableParagraph"/>
            </w:pPr>
          </w:p>
        </w:tc>
      </w:tr>
      <w:tr w:rsidR="00343495">
        <w:trPr>
          <w:trHeight w:val="628"/>
        </w:trPr>
        <w:tc>
          <w:tcPr>
            <w:tcW w:w="2155" w:type="dxa"/>
          </w:tcPr>
          <w:p w:rsidR="00343495" w:rsidRDefault="00E00FCD">
            <w:pPr>
              <w:pStyle w:val="TableParagraph"/>
              <w:ind w:left="117"/>
              <w:rPr>
                <w:sz w:val="20"/>
              </w:rPr>
            </w:pPr>
            <w:r>
              <w:rPr>
                <w:b/>
                <w:sz w:val="20"/>
              </w:rPr>
              <w:t xml:space="preserve">A1: </w:t>
            </w:r>
            <w:r>
              <w:rPr>
                <w:sz w:val="20"/>
              </w:rPr>
              <w:t>Pre-1700 (2)</w:t>
            </w:r>
          </w:p>
        </w:tc>
        <w:tc>
          <w:tcPr>
            <w:tcW w:w="720" w:type="dxa"/>
          </w:tcPr>
          <w:p w:rsidR="00343495" w:rsidRDefault="00343495">
            <w:pPr>
              <w:pStyle w:val="TableParagraph"/>
            </w:pPr>
          </w:p>
        </w:tc>
        <w:tc>
          <w:tcPr>
            <w:tcW w:w="2702" w:type="dxa"/>
          </w:tcPr>
          <w:p w:rsidR="00343495" w:rsidRDefault="00E00FCD">
            <w:pPr>
              <w:pStyle w:val="TableParagraph"/>
              <w:ind w:left="112"/>
              <w:rPr>
                <w:sz w:val="20"/>
              </w:rPr>
            </w:pPr>
            <w:r>
              <w:rPr>
                <w:b/>
                <w:sz w:val="20"/>
              </w:rPr>
              <w:t xml:space="preserve">C: </w:t>
            </w:r>
            <w:r>
              <w:rPr>
                <w:sz w:val="20"/>
              </w:rPr>
              <w:t>Prose</w:t>
            </w:r>
          </w:p>
        </w:tc>
        <w:tc>
          <w:tcPr>
            <w:tcW w:w="720" w:type="dxa"/>
          </w:tcPr>
          <w:p w:rsidR="00343495" w:rsidRDefault="00343495">
            <w:pPr>
              <w:pStyle w:val="TableParagraph"/>
            </w:pPr>
          </w:p>
        </w:tc>
        <w:tc>
          <w:tcPr>
            <w:tcW w:w="3778" w:type="dxa"/>
          </w:tcPr>
          <w:p w:rsidR="00343495" w:rsidRDefault="00E00FCD">
            <w:pPr>
              <w:pStyle w:val="TableParagraph"/>
              <w:ind w:left="113"/>
              <w:rPr>
                <w:sz w:val="20"/>
              </w:rPr>
            </w:pPr>
            <w:r>
              <w:rPr>
                <w:b/>
                <w:sz w:val="20"/>
              </w:rPr>
              <w:t xml:space="preserve">F: </w:t>
            </w:r>
            <w:r>
              <w:rPr>
                <w:sz w:val="20"/>
              </w:rPr>
              <w:t>British/Irish</w:t>
            </w:r>
          </w:p>
        </w:tc>
        <w:tc>
          <w:tcPr>
            <w:tcW w:w="665" w:type="dxa"/>
          </w:tcPr>
          <w:p w:rsidR="00343495" w:rsidRDefault="00343495">
            <w:pPr>
              <w:pStyle w:val="TableParagraph"/>
            </w:pPr>
          </w:p>
        </w:tc>
      </w:tr>
      <w:tr w:rsidR="00343495">
        <w:trPr>
          <w:trHeight w:val="599"/>
        </w:trPr>
        <w:tc>
          <w:tcPr>
            <w:tcW w:w="2155" w:type="dxa"/>
          </w:tcPr>
          <w:p w:rsidR="00343495" w:rsidRDefault="00E00FCD">
            <w:pPr>
              <w:pStyle w:val="TableParagraph"/>
              <w:ind w:left="117"/>
              <w:rPr>
                <w:sz w:val="20"/>
              </w:rPr>
            </w:pPr>
            <w:r>
              <w:rPr>
                <w:b/>
                <w:sz w:val="20"/>
              </w:rPr>
              <w:t xml:space="preserve">A2: </w:t>
            </w:r>
            <w:r>
              <w:rPr>
                <w:sz w:val="20"/>
              </w:rPr>
              <w:t>1700-1900</w:t>
            </w:r>
          </w:p>
        </w:tc>
        <w:tc>
          <w:tcPr>
            <w:tcW w:w="720" w:type="dxa"/>
          </w:tcPr>
          <w:p w:rsidR="00343495" w:rsidRDefault="00343495">
            <w:pPr>
              <w:pStyle w:val="TableParagraph"/>
            </w:pPr>
          </w:p>
        </w:tc>
        <w:tc>
          <w:tcPr>
            <w:tcW w:w="2702" w:type="dxa"/>
          </w:tcPr>
          <w:p w:rsidR="00343495" w:rsidRDefault="00E00FCD">
            <w:pPr>
              <w:pStyle w:val="TableParagraph"/>
              <w:ind w:left="112"/>
              <w:rPr>
                <w:sz w:val="20"/>
              </w:rPr>
            </w:pPr>
            <w:r>
              <w:rPr>
                <w:b/>
                <w:sz w:val="20"/>
              </w:rPr>
              <w:t xml:space="preserve">D: </w:t>
            </w:r>
            <w:r>
              <w:rPr>
                <w:sz w:val="20"/>
              </w:rPr>
              <w:t>Drama/Film/New Media</w:t>
            </w:r>
          </w:p>
        </w:tc>
        <w:tc>
          <w:tcPr>
            <w:tcW w:w="720" w:type="dxa"/>
          </w:tcPr>
          <w:p w:rsidR="00343495" w:rsidRDefault="00343495">
            <w:pPr>
              <w:pStyle w:val="TableParagraph"/>
            </w:pPr>
          </w:p>
        </w:tc>
        <w:tc>
          <w:tcPr>
            <w:tcW w:w="3778" w:type="dxa"/>
          </w:tcPr>
          <w:p w:rsidR="00343495" w:rsidRDefault="00E00FCD">
            <w:pPr>
              <w:pStyle w:val="TableParagraph"/>
              <w:ind w:left="113"/>
              <w:rPr>
                <w:sz w:val="20"/>
              </w:rPr>
            </w:pPr>
            <w:r>
              <w:rPr>
                <w:b/>
                <w:sz w:val="20"/>
              </w:rPr>
              <w:t xml:space="preserve">G: </w:t>
            </w:r>
            <w:r>
              <w:rPr>
                <w:sz w:val="20"/>
              </w:rPr>
              <w:t>American</w:t>
            </w:r>
          </w:p>
        </w:tc>
        <w:tc>
          <w:tcPr>
            <w:tcW w:w="665" w:type="dxa"/>
          </w:tcPr>
          <w:p w:rsidR="00343495" w:rsidRDefault="00343495">
            <w:pPr>
              <w:pStyle w:val="TableParagraph"/>
            </w:pPr>
          </w:p>
        </w:tc>
      </w:tr>
      <w:tr w:rsidR="00343495">
        <w:trPr>
          <w:trHeight w:val="594"/>
        </w:trPr>
        <w:tc>
          <w:tcPr>
            <w:tcW w:w="2155" w:type="dxa"/>
          </w:tcPr>
          <w:p w:rsidR="00343495" w:rsidRDefault="00E00FCD">
            <w:pPr>
              <w:pStyle w:val="TableParagraph"/>
              <w:ind w:left="117"/>
              <w:rPr>
                <w:sz w:val="20"/>
              </w:rPr>
            </w:pPr>
            <w:r>
              <w:rPr>
                <w:b/>
                <w:sz w:val="20"/>
              </w:rPr>
              <w:t xml:space="preserve">A3: </w:t>
            </w:r>
            <w:r>
              <w:rPr>
                <w:sz w:val="20"/>
              </w:rPr>
              <w:t>1900-present</w:t>
            </w:r>
          </w:p>
        </w:tc>
        <w:tc>
          <w:tcPr>
            <w:tcW w:w="720" w:type="dxa"/>
          </w:tcPr>
          <w:p w:rsidR="00343495" w:rsidRDefault="00343495">
            <w:pPr>
              <w:pStyle w:val="TableParagraph"/>
            </w:pPr>
          </w:p>
        </w:tc>
        <w:tc>
          <w:tcPr>
            <w:tcW w:w="2702" w:type="dxa"/>
          </w:tcPr>
          <w:p w:rsidR="00343495" w:rsidRDefault="00343495">
            <w:pPr>
              <w:pStyle w:val="TableParagraph"/>
            </w:pPr>
          </w:p>
        </w:tc>
        <w:tc>
          <w:tcPr>
            <w:tcW w:w="720" w:type="dxa"/>
          </w:tcPr>
          <w:p w:rsidR="00343495" w:rsidRDefault="00343495">
            <w:pPr>
              <w:pStyle w:val="TableParagraph"/>
            </w:pPr>
          </w:p>
        </w:tc>
        <w:tc>
          <w:tcPr>
            <w:tcW w:w="3778" w:type="dxa"/>
          </w:tcPr>
          <w:p w:rsidR="00343495" w:rsidRDefault="00E00FCD">
            <w:pPr>
              <w:pStyle w:val="TableParagraph"/>
              <w:ind w:left="113"/>
              <w:rPr>
                <w:sz w:val="20"/>
              </w:rPr>
            </w:pPr>
            <w:r>
              <w:rPr>
                <w:b/>
                <w:sz w:val="20"/>
              </w:rPr>
              <w:t xml:space="preserve">H: </w:t>
            </w:r>
            <w:r>
              <w:rPr>
                <w:sz w:val="20"/>
              </w:rPr>
              <w:t>Global/Comparative</w:t>
            </w:r>
          </w:p>
        </w:tc>
        <w:tc>
          <w:tcPr>
            <w:tcW w:w="665" w:type="dxa"/>
          </w:tcPr>
          <w:p w:rsidR="00343495" w:rsidRDefault="00343495">
            <w:pPr>
              <w:pStyle w:val="TableParagraph"/>
            </w:pPr>
          </w:p>
        </w:tc>
      </w:tr>
    </w:tbl>
    <w:p w:rsidR="00343495" w:rsidRDefault="00343495">
      <w:pPr>
        <w:pStyle w:val="BodyText"/>
        <w:rPr>
          <w:b/>
        </w:rPr>
      </w:pPr>
    </w:p>
    <w:p w:rsidR="00343495" w:rsidRDefault="00343495">
      <w:pPr>
        <w:pStyle w:val="BodyText"/>
        <w:spacing w:before="8"/>
        <w:rPr>
          <w:b/>
          <w:sz w:val="19"/>
        </w:rPr>
      </w:pPr>
    </w:p>
    <w:p w:rsidR="00343495" w:rsidRDefault="00E00FCD">
      <w:pPr>
        <w:pStyle w:val="Heading2"/>
        <w:tabs>
          <w:tab w:val="left" w:pos="4568"/>
        </w:tabs>
        <w:spacing w:line="475" w:lineRule="auto"/>
        <w:ind w:right="2996"/>
      </w:pPr>
      <w:bookmarkStart w:id="2" w:name="CAPSTONE_REQUIREMENT_CHECKLIST_(for_majo"/>
      <w:bookmarkEnd w:id="2"/>
      <w:r>
        <w:rPr>
          <w:w w:val="110"/>
        </w:rPr>
        <w:t>CAPSTONE REQUIREMENT CHECKLIST (for majors only: check</w:t>
      </w:r>
      <w:r>
        <w:rPr>
          <w:spacing w:val="-55"/>
          <w:w w:val="110"/>
        </w:rPr>
        <w:t xml:space="preserve"> </w:t>
      </w:r>
      <w:r>
        <w:rPr>
          <w:w w:val="110"/>
        </w:rPr>
        <w:t>one) Option 1: Senior</w:t>
      </w:r>
      <w:r>
        <w:rPr>
          <w:spacing w:val="-22"/>
          <w:w w:val="110"/>
        </w:rPr>
        <w:t xml:space="preserve"> </w:t>
      </w:r>
      <w:r>
        <w:rPr>
          <w:w w:val="110"/>
        </w:rPr>
        <w:t>Essay</w:t>
      </w:r>
      <w:r>
        <w:rPr>
          <w:spacing w:val="8"/>
        </w:rPr>
        <w:t xml:space="preserve"> </w:t>
      </w:r>
      <w:r>
        <w:rPr>
          <w:w w:val="109"/>
          <w:u w:val="single"/>
        </w:rPr>
        <w:t xml:space="preserve"> </w:t>
      </w:r>
      <w:r>
        <w:rPr>
          <w:u w:val="single"/>
        </w:rPr>
        <w:tab/>
      </w:r>
    </w:p>
    <w:p w:rsidR="00343495" w:rsidRDefault="00E00FCD">
      <w:pPr>
        <w:tabs>
          <w:tab w:val="left" w:pos="6973"/>
        </w:tabs>
        <w:spacing w:line="270" w:lineRule="exact"/>
        <w:ind w:left="462"/>
        <w:rPr>
          <w:b/>
          <w:sz w:val="24"/>
        </w:rPr>
      </w:pPr>
      <w:r>
        <w:rPr>
          <w:b/>
          <w:w w:val="110"/>
          <w:sz w:val="24"/>
        </w:rPr>
        <w:t>Option 2: 4000-level seminar (indicate</w:t>
      </w:r>
      <w:r>
        <w:rPr>
          <w:b/>
          <w:spacing w:val="-47"/>
          <w:w w:val="110"/>
          <w:sz w:val="24"/>
        </w:rPr>
        <w:t xml:space="preserve"> </w:t>
      </w:r>
      <w:r>
        <w:rPr>
          <w:b/>
          <w:w w:val="110"/>
          <w:sz w:val="24"/>
        </w:rPr>
        <w:t>which)</w:t>
      </w:r>
      <w:r>
        <w:rPr>
          <w:b/>
          <w:spacing w:val="8"/>
          <w:sz w:val="24"/>
        </w:rPr>
        <w:t xml:space="preserve"> </w:t>
      </w:r>
      <w:r>
        <w:rPr>
          <w:b/>
          <w:w w:val="109"/>
          <w:sz w:val="24"/>
          <w:u w:val="single"/>
        </w:rPr>
        <w:t xml:space="preserve"> </w:t>
      </w:r>
      <w:r>
        <w:rPr>
          <w:b/>
          <w:sz w:val="24"/>
          <w:u w:val="single"/>
        </w:rPr>
        <w:tab/>
      </w:r>
    </w:p>
    <w:p w:rsidR="00343495" w:rsidRDefault="00343495">
      <w:pPr>
        <w:spacing w:line="270" w:lineRule="exact"/>
        <w:rPr>
          <w:sz w:val="24"/>
        </w:rPr>
        <w:sectPr w:rsidR="00343495">
          <w:type w:val="continuous"/>
          <w:pgSz w:w="12240" w:h="15840"/>
          <w:pgMar w:top="1420" w:right="140" w:bottom="280" w:left="260" w:header="720" w:footer="720" w:gutter="0"/>
          <w:cols w:space="720"/>
        </w:sectPr>
      </w:pPr>
    </w:p>
    <w:p w:rsidR="00343495" w:rsidRDefault="00E00FCD">
      <w:pPr>
        <w:spacing w:before="62"/>
        <w:ind w:left="3352" w:right="3461"/>
        <w:jc w:val="center"/>
        <w:rPr>
          <w:b/>
          <w:sz w:val="28"/>
        </w:rPr>
      </w:pPr>
      <w:r>
        <w:rPr>
          <w:b/>
          <w:sz w:val="28"/>
        </w:rPr>
        <w:lastRenderedPageBreak/>
        <w:t>COURSE OPTIONS &amp; RESTRICTIONS</w:t>
      </w:r>
    </w:p>
    <w:p w:rsidR="00343495" w:rsidRDefault="00343495">
      <w:pPr>
        <w:pStyle w:val="BodyText"/>
        <w:spacing w:before="8"/>
        <w:rPr>
          <w:b/>
          <w:sz w:val="24"/>
        </w:rPr>
      </w:pPr>
    </w:p>
    <w:p w:rsidR="00343495" w:rsidRDefault="00E00FCD">
      <w:pPr>
        <w:pStyle w:val="BodyText"/>
        <w:ind w:left="462" w:right="667"/>
      </w:pPr>
      <w:r>
        <w:rPr>
          <w:b/>
          <w:sz w:val="22"/>
        </w:rPr>
        <w:t xml:space="preserve">BARNARD ENGLISH COURSES: </w:t>
      </w:r>
      <w:r>
        <w:t xml:space="preserve">Up to </w:t>
      </w:r>
      <w:r>
        <w:rPr>
          <w:b/>
        </w:rPr>
        <w:t xml:space="preserve">two </w:t>
      </w:r>
      <w:r>
        <w:t>Barnard English courses can count identically to Columbia English courses, in terms of credit toward the major/concentration; additional Barnard coursework must be approved by the DUS. Contact the DUS to determine which distribution requirements a Barnard course might fulfill.</w:t>
      </w:r>
    </w:p>
    <w:p w:rsidR="00343495" w:rsidRDefault="00343495">
      <w:pPr>
        <w:pStyle w:val="BodyText"/>
        <w:spacing w:before="9"/>
        <w:rPr>
          <w:sz w:val="19"/>
        </w:rPr>
      </w:pPr>
    </w:p>
    <w:p w:rsidR="00343495" w:rsidRDefault="00E00FCD">
      <w:pPr>
        <w:ind w:left="462"/>
        <w:rPr>
          <w:sz w:val="20"/>
        </w:rPr>
      </w:pPr>
      <w:r>
        <w:rPr>
          <w:b/>
        </w:rPr>
        <w:t>CORE COURSES</w:t>
      </w:r>
      <w:r>
        <w:rPr>
          <w:sz w:val="20"/>
        </w:rPr>
        <w:t xml:space="preserve">, such as University Writing and Lit Hum, </w:t>
      </w:r>
      <w:r>
        <w:rPr>
          <w:b/>
          <w:sz w:val="20"/>
        </w:rPr>
        <w:t xml:space="preserve">cannot count </w:t>
      </w:r>
      <w:r>
        <w:rPr>
          <w:sz w:val="20"/>
        </w:rPr>
        <w:t>toward the major/concentration.</w:t>
      </w:r>
    </w:p>
    <w:p w:rsidR="00343495" w:rsidRDefault="00343495">
      <w:pPr>
        <w:pStyle w:val="BodyText"/>
        <w:spacing w:before="11"/>
        <w:rPr>
          <w:sz w:val="23"/>
        </w:rPr>
      </w:pPr>
    </w:p>
    <w:p w:rsidR="00343495" w:rsidRDefault="00E00FCD">
      <w:pPr>
        <w:ind w:left="462"/>
        <w:rPr>
          <w:sz w:val="20"/>
        </w:rPr>
      </w:pPr>
      <w:r>
        <w:rPr>
          <w:b/>
        </w:rPr>
        <w:t xml:space="preserve">GLOBAL CORE COURSES </w:t>
      </w:r>
      <w:r>
        <w:rPr>
          <w:b/>
          <w:sz w:val="20"/>
        </w:rPr>
        <w:t xml:space="preserve">can count </w:t>
      </w:r>
      <w:r>
        <w:rPr>
          <w:sz w:val="20"/>
        </w:rPr>
        <w:t xml:space="preserve">toward the major/concentration – </w:t>
      </w:r>
      <w:r>
        <w:rPr>
          <w:b/>
          <w:sz w:val="20"/>
        </w:rPr>
        <w:t xml:space="preserve">if </w:t>
      </w:r>
      <w:r>
        <w:rPr>
          <w:sz w:val="20"/>
        </w:rPr>
        <w:t>they have an ENGL or CLEN designation.</w:t>
      </w:r>
    </w:p>
    <w:p w:rsidR="00343495" w:rsidRDefault="00343495">
      <w:pPr>
        <w:pStyle w:val="BodyText"/>
        <w:spacing w:before="10"/>
        <w:rPr>
          <w:sz w:val="23"/>
        </w:rPr>
      </w:pPr>
    </w:p>
    <w:p w:rsidR="00343495" w:rsidRDefault="00E00FCD">
      <w:pPr>
        <w:pStyle w:val="BodyText"/>
        <w:ind w:left="462" w:right="888"/>
      </w:pPr>
      <w:r>
        <w:rPr>
          <w:b/>
          <w:sz w:val="22"/>
        </w:rPr>
        <w:t xml:space="preserve">GRADES: </w:t>
      </w:r>
      <w:r>
        <w:t>No courses with a grade of D or F will receive credit toward the major or concentration. Only one course taken with a grade of P can count toward the major or concentration.</w:t>
      </w:r>
    </w:p>
    <w:p w:rsidR="00343495" w:rsidRDefault="00343495">
      <w:pPr>
        <w:pStyle w:val="BodyText"/>
        <w:rPr>
          <w:sz w:val="24"/>
        </w:rPr>
      </w:pPr>
    </w:p>
    <w:p w:rsidR="00343495" w:rsidRDefault="00E00FCD">
      <w:pPr>
        <w:ind w:left="462"/>
        <w:rPr>
          <w:sz w:val="20"/>
        </w:rPr>
      </w:pPr>
      <w:r>
        <w:rPr>
          <w:b/>
        </w:rPr>
        <w:t xml:space="preserve">INDEPENDENT STUDIES AND THE SENIOR ESSAY: </w:t>
      </w:r>
      <w:r>
        <w:rPr>
          <w:sz w:val="20"/>
        </w:rPr>
        <w:t xml:space="preserve">Each </w:t>
      </w:r>
      <w:proofErr w:type="gramStart"/>
      <w:r>
        <w:rPr>
          <w:sz w:val="20"/>
        </w:rPr>
        <w:t>counts</w:t>
      </w:r>
      <w:proofErr w:type="gramEnd"/>
      <w:r>
        <w:rPr>
          <w:sz w:val="20"/>
        </w:rPr>
        <w:t xml:space="preserve"> as </w:t>
      </w:r>
      <w:r>
        <w:rPr>
          <w:b/>
          <w:sz w:val="20"/>
        </w:rPr>
        <w:t xml:space="preserve">one </w:t>
      </w:r>
      <w:r>
        <w:rPr>
          <w:sz w:val="20"/>
        </w:rPr>
        <w:t>course toward the major/concentration.</w:t>
      </w:r>
    </w:p>
    <w:p w:rsidR="00343495" w:rsidRDefault="00343495">
      <w:pPr>
        <w:pStyle w:val="BodyText"/>
        <w:spacing w:before="2"/>
      </w:pPr>
    </w:p>
    <w:p w:rsidR="00343495" w:rsidRDefault="00E00FCD">
      <w:pPr>
        <w:pStyle w:val="BodyText"/>
        <w:ind w:left="462" w:right="667"/>
      </w:pPr>
      <w:r>
        <w:rPr>
          <w:b/>
          <w:sz w:val="22"/>
        </w:rPr>
        <w:t xml:space="preserve">NON-ENGLISH COURSES: </w:t>
      </w:r>
      <w:r>
        <w:t xml:space="preserve">Up to </w:t>
      </w:r>
      <w:r>
        <w:rPr>
          <w:b/>
        </w:rPr>
        <w:t xml:space="preserve">two </w:t>
      </w:r>
      <w:r>
        <w:t>courses taken outside English can count toward the major/concentration, if they cover material relevant to literary study (for example Creative Writing, Film, or courses in foreign language departments covering literature and not language proficiency). Please contact the DUS for any questions about particular courses. Finally, note that only courses with the designation CLEN or ENGL can fulfill distribution requirements.</w:t>
      </w:r>
    </w:p>
    <w:p w:rsidR="00343495" w:rsidRDefault="00343495">
      <w:pPr>
        <w:pStyle w:val="BodyText"/>
        <w:rPr>
          <w:sz w:val="24"/>
        </w:rPr>
      </w:pPr>
    </w:p>
    <w:p w:rsidR="00343495" w:rsidRDefault="00E00FCD">
      <w:pPr>
        <w:ind w:left="462"/>
        <w:rPr>
          <w:sz w:val="20"/>
        </w:rPr>
      </w:pPr>
      <w:r>
        <w:rPr>
          <w:b/>
        </w:rPr>
        <w:t xml:space="preserve">SUMMER COURSES: </w:t>
      </w:r>
      <w:r>
        <w:rPr>
          <w:sz w:val="20"/>
        </w:rPr>
        <w:t xml:space="preserve">Up to </w:t>
      </w:r>
      <w:r>
        <w:rPr>
          <w:b/>
          <w:sz w:val="20"/>
        </w:rPr>
        <w:t xml:space="preserve">two </w:t>
      </w:r>
      <w:r>
        <w:rPr>
          <w:sz w:val="20"/>
        </w:rPr>
        <w:t>summer courses can count toward the major/concentration.</w:t>
      </w:r>
    </w:p>
    <w:p w:rsidR="00343495" w:rsidRDefault="00343495">
      <w:pPr>
        <w:pStyle w:val="BodyText"/>
        <w:spacing w:before="10"/>
        <w:rPr>
          <w:sz w:val="23"/>
        </w:rPr>
      </w:pPr>
    </w:p>
    <w:p w:rsidR="00343495" w:rsidRDefault="00E00FCD">
      <w:pPr>
        <w:pStyle w:val="BodyText"/>
        <w:spacing w:before="1"/>
        <w:ind w:left="462" w:right="626" w:hanging="1"/>
      </w:pPr>
      <w:r>
        <w:rPr>
          <w:b/>
          <w:sz w:val="22"/>
        </w:rPr>
        <w:t xml:space="preserve">TRANSFER/STUDY ABROAD CREDIT: </w:t>
      </w:r>
      <w:r>
        <w:t xml:space="preserve">As a rule, no more than </w:t>
      </w:r>
      <w:r>
        <w:rPr>
          <w:b/>
        </w:rPr>
        <w:t xml:space="preserve">three </w:t>
      </w:r>
      <w:r>
        <w:t xml:space="preserve">courses taken outside Columbia can count toward the major (and </w:t>
      </w:r>
      <w:r>
        <w:rPr>
          <w:b/>
        </w:rPr>
        <w:t xml:space="preserve">two </w:t>
      </w:r>
      <w:r>
        <w:t>toward the concentration); the DUS must review and approve all non-Columbia courses for major/concentration credit, as well as distribution coverage.</w:t>
      </w:r>
    </w:p>
    <w:p w:rsidR="00343495" w:rsidRDefault="00343495">
      <w:pPr>
        <w:pStyle w:val="BodyText"/>
      </w:pPr>
    </w:p>
    <w:p w:rsidR="00343495" w:rsidRDefault="00E00FCD">
      <w:pPr>
        <w:pStyle w:val="BodyText"/>
        <w:spacing w:line="242" w:lineRule="auto"/>
        <w:ind w:left="462" w:right="1252" w:hanging="1"/>
      </w:pPr>
      <w:r>
        <w:rPr>
          <w:b/>
          <w:sz w:val="22"/>
        </w:rPr>
        <w:t>DUAL-DEGREE PROGRAMS</w:t>
      </w:r>
      <w:r>
        <w:t>: Students from dual-degree programs are encouraged to consult with the DUS as soon as possible, as their major requirements are not identical to those listed below.</w:t>
      </w:r>
    </w:p>
    <w:p w:rsidR="00343495" w:rsidRDefault="00343495">
      <w:pPr>
        <w:pStyle w:val="BodyText"/>
        <w:rPr>
          <w:sz w:val="22"/>
        </w:rPr>
      </w:pPr>
    </w:p>
    <w:p w:rsidR="00343495" w:rsidRDefault="00343495">
      <w:pPr>
        <w:pStyle w:val="BodyText"/>
        <w:spacing w:before="9"/>
        <w:rPr>
          <w:sz w:val="29"/>
        </w:rPr>
      </w:pPr>
    </w:p>
    <w:p w:rsidR="00343495" w:rsidRDefault="00E00FCD">
      <w:pPr>
        <w:pStyle w:val="Heading1"/>
        <w:spacing w:before="1"/>
        <w:ind w:right="3460"/>
      </w:pPr>
      <w:bookmarkStart w:id="3" w:name="MAJOR_REQUIREMENTS"/>
      <w:bookmarkEnd w:id="3"/>
      <w:r>
        <w:t>MAJOR REQUIREMENTS</w:t>
      </w:r>
    </w:p>
    <w:p w:rsidR="00343495" w:rsidRDefault="00343495">
      <w:pPr>
        <w:pStyle w:val="BodyText"/>
        <w:spacing w:before="2"/>
        <w:rPr>
          <w:b/>
          <w:sz w:val="28"/>
        </w:rPr>
      </w:pPr>
    </w:p>
    <w:p w:rsidR="00343495" w:rsidRDefault="00E00FCD">
      <w:pPr>
        <w:pStyle w:val="ListParagraph"/>
        <w:numPr>
          <w:ilvl w:val="0"/>
          <w:numId w:val="1"/>
        </w:numPr>
        <w:tabs>
          <w:tab w:val="left" w:pos="1182"/>
          <w:tab w:val="left" w:pos="1183"/>
        </w:tabs>
        <w:ind w:hanging="361"/>
        <w:rPr>
          <w:sz w:val="20"/>
        </w:rPr>
      </w:pPr>
      <w:r>
        <w:rPr>
          <w:b/>
        </w:rPr>
        <w:t xml:space="preserve">TEN COURSES </w:t>
      </w:r>
      <w:r>
        <w:rPr>
          <w:sz w:val="20"/>
        </w:rPr>
        <w:t>(see the “Options and Restrictions” section for what can and can’t count),</w:t>
      </w:r>
      <w:r>
        <w:rPr>
          <w:spacing w:val="-26"/>
          <w:sz w:val="20"/>
        </w:rPr>
        <w:t xml:space="preserve"> </w:t>
      </w:r>
      <w:r>
        <w:rPr>
          <w:sz w:val="20"/>
        </w:rPr>
        <w:t>including...</w:t>
      </w:r>
    </w:p>
    <w:p w:rsidR="00343495" w:rsidRDefault="00E00FCD">
      <w:pPr>
        <w:pStyle w:val="Heading3"/>
        <w:numPr>
          <w:ilvl w:val="0"/>
          <w:numId w:val="1"/>
        </w:numPr>
        <w:tabs>
          <w:tab w:val="left" w:pos="1182"/>
          <w:tab w:val="left" w:pos="1183"/>
        </w:tabs>
        <w:spacing w:before="141"/>
        <w:ind w:hanging="361"/>
      </w:pPr>
      <w:r>
        <w:t>APPROACHES TO LITERARY STUDY (ENGL</w:t>
      </w:r>
      <w:r>
        <w:rPr>
          <w:spacing w:val="-7"/>
        </w:rPr>
        <w:t xml:space="preserve"> </w:t>
      </w:r>
      <w:r>
        <w:t>UN2000/2001)</w:t>
      </w:r>
    </w:p>
    <w:p w:rsidR="00343495" w:rsidRDefault="00E00FCD">
      <w:pPr>
        <w:pStyle w:val="BodyText"/>
        <w:spacing w:before="4" w:line="235" w:lineRule="auto"/>
        <w:ind w:left="1182" w:right="745"/>
        <w:rPr>
          <w:b/>
          <w:sz w:val="22"/>
        </w:rPr>
      </w:pPr>
      <w:r>
        <w:t xml:space="preserve">This introductory course (a weekly lecture with a companion seminar) is a </w:t>
      </w:r>
      <w:r>
        <w:rPr>
          <w:b/>
        </w:rPr>
        <w:t xml:space="preserve">required </w:t>
      </w:r>
      <w:r>
        <w:t xml:space="preserve">course for English concentrators. Though listed on transcripts as 2 courses, ENGL UN2000 and ENGL W2001 form a unit and </w:t>
      </w:r>
      <w:r>
        <w:rPr>
          <w:b/>
        </w:rPr>
        <w:t>count as one 4-point course</w:t>
      </w:r>
      <w:r>
        <w:rPr>
          <w:b/>
          <w:sz w:val="22"/>
        </w:rPr>
        <w:t>.</w:t>
      </w:r>
    </w:p>
    <w:p w:rsidR="00343495" w:rsidRDefault="00E00FCD">
      <w:pPr>
        <w:pStyle w:val="Heading3"/>
        <w:numPr>
          <w:ilvl w:val="0"/>
          <w:numId w:val="1"/>
        </w:numPr>
        <w:tabs>
          <w:tab w:val="left" w:pos="1182"/>
          <w:tab w:val="left" w:pos="1183"/>
        </w:tabs>
        <w:ind w:hanging="361"/>
      </w:pPr>
      <w:r>
        <w:t>DISTRIBUTION</w:t>
      </w:r>
      <w:r>
        <w:rPr>
          <w:spacing w:val="-4"/>
        </w:rPr>
        <w:t xml:space="preserve"> </w:t>
      </w:r>
      <w:r>
        <w:t>REQUIREMENTS:</w:t>
      </w:r>
    </w:p>
    <w:p w:rsidR="00343495" w:rsidRDefault="00E00FCD">
      <w:pPr>
        <w:pStyle w:val="BodyText"/>
        <w:spacing w:before="1"/>
        <w:ind w:left="1182" w:right="1040"/>
      </w:pPr>
      <w:r>
        <w:t>Majors must also fulfill the following distribution requirements with departmental courses (note that a single course can count for more than one requirement - but this does not reduce the total number of required courses):</w:t>
      </w:r>
    </w:p>
    <w:p w:rsidR="00343495" w:rsidRDefault="00E00FCD">
      <w:pPr>
        <w:pStyle w:val="BodyText"/>
        <w:spacing w:before="1"/>
        <w:ind w:left="1182" w:right="941"/>
      </w:pPr>
      <w:r>
        <w:rPr>
          <w:b/>
        </w:rPr>
        <w:t>Period</w:t>
      </w:r>
      <w:r>
        <w:t xml:space="preserve">: </w:t>
      </w:r>
      <w:r>
        <w:rPr>
          <w:b/>
        </w:rPr>
        <w:t xml:space="preserve">Two </w:t>
      </w:r>
      <w:r>
        <w:t xml:space="preserve">courses dealing with literature pre-1700 (only one can focus on Shakespeare); </w:t>
      </w:r>
      <w:r>
        <w:rPr>
          <w:b/>
        </w:rPr>
        <w:t xml:space="preserve">one </w:t>
      </w:r>
      <w:r>
        <w:t xml:space="preserve">course on literature from 1700-1900; </w:t>
      </w:r>
      <w:r>
        <w:rPr>
          <w:b/>
        </w:rPr>
        <w:t xml:space="preserve">one </w:t>
      </w:r>
      <w:r>
        <w:t>course on literature from 1900 to the present;</w:t>
      </w:r>
    </w:p>
    <w:p w:rsidR="00343495" w:rsidRDefault="00E00FCD">
      <w:pPr>
        <w:pStyle w:val="BodyText"/>
        <w:spacing w:line="224" w:lineRule="exact"/>
        <w:ind w:left="1182"/>
      </w:pPr>
      <w:r>
        <w:rPr>
          <w:b/>
        </w:rPr>
        <w:t>Genre</w:t>
      </w:r>
      <w:r>
        <w:t xml:space="preserve">: course in </w:t>
      </w:r>
      <w:r>
        <w:rPr>
          <w:b/>
        </w:rPr>
        <w:t xml:space="preserve">each </w:t>
      </w:r>
      <w:r>
        <w:t>of the following categories (</w:t>
      </w:r>
      <w:r>
        <w:rPr>
          <w:b/>
        </w:rPr>
        <w:t xml:space="preserve">three </w:t>
      </w:r>
      <w:r>
        <w:t>total): poetry; prose; drama/film/new media;</w:t>
      </w:r>
    </w:p>
    <w:p w:rsidR="00343495" w:rsidRDefault="00E00FCD">
      <w:pPr>
        <w:pStyle w:val="BodyText"/>
        <w:spacing w:before="3"/>
        <w:ind w:left="1182"/>
      </w:pPr>
      <w:r>
        <w:rPr>
          <w:b/>
        </w:rPr>
        <w:t>Geography</w:t>
      </w:r>
      <w:r>
        <w:t xml:space="preserve">: One course in </w:t>
      </w:r>
      <w:r>
        <w:rPr>
          <w:b/>
        </w:rPr>
        <w:t xml:space="preserve">each </w:t>
      </w:r>
      <w:r>
        <w:t>of the following literatures (</w:t>
      </w:r>
      <w:r>
        <w:rPr>
          <w:b/>
        </w:rPr>
        <w:t xml:space="preserve">three </w:t>
      </w:r>
      <w:r>
        <w:t>total): British-Irish; American; Global/Comparative;</w:t>
      </w:r>
    </w:p>
    <w:p w:rsidR="00343495" w:rsidRDefault="00E00FCD">
      <w:pPr>
        <w:pStyle w:val="BodyText"/>
        <w:ind w:left="1182"/>
      </w:pPr>
      <w:r>
        <w:rPr>
          <w:b/>
        </w:rPr>
        <w:t xml:space="preserve">One </w:t>
      </w:r>
      <w:r>
        <w:t>course focused on ethnicity and race;</w:t>
      </w:r>
    </w:p>
    <w:p w:rsidR="00343495" w:rsidRDefault="00E00FCD">
      <w:pPr>
        <w:pStyle w:val="Heading3"/>
        <w:numPr>
          <w:ilvl w:val="0"/>
          <w:numId w:val="1"/>
        </w:numPr>
        <w:tabs>
          <w:tab w:val="left" w:pos="1182"/>
          <w:tab w:val="left" w:pos="1183"/>
        </w:tabs>
        <w:spacing w:before="140"/>
        <w:ind w:hanging="361"/>
      </w:pPr>
      <w:bookmarkStart w:id="4" w:name="_CAPSTONE_REQUIREMENT"/>
      <w:bookmarkEnd w:id="4"/>
      <w:r>
        <w:t>CAPSTONE</w:t>
      </w:r>
      <w:r>
        <w:rPr>
          <w:spacing w:val="-4"/>
        </w:rPr>
        <w:t xml:space="preserve"> </w:t>
      </w:r>
      <w:r>
        <w:t>REQUIREMENT</w:t>
      </w:r>
    </w:p>
    <w:p w:rsidR="00343495" w:rsidRDefault="00E00FCD">
      <w:pPr>
        <w:pStyle w:val="BodyText"/>
        <w:spacing w:before="1"/>
        <w:ind w:left="1182" w:right="713"/>
      </w:pPr>
      <w:r>
        <w:t>Majors must complete a “capstone” experience, which can be either a) writing the Senior Essay, or b) taking any 4000-level seminar offered by the Department, at any point. (It is also possible to do both.)</w:t>
      </w:r>
    </w:p>
    <w:p w:rsidR="00343495" w:rsidRDefault="00343495">
      <w:pPr>
        <w:sectPr w:rsidR="00343495">
          <w:pgSz w:w="12240" w:h="15840"/>
          <w:pgMar w:top="1260" w:right="140" w:bottom="280" w:left="260" w:header="720" w:footer="720" w:gutter="0"/>
          <w:cols w:space="720"/>
        </w:sectPr>
      </w:pPr>
    </w:p>
    <w:p w:rsidR="00343495" w:rsidRDefault="00E00FCD">
      <w:pPr>
        <w:pStyle w:val="Heading1"/>
        <w:spacing w:before="62"/>
        <w:ind w:left="3351"/>
      </w:pPr>
      <w:bookmarkStart w:id="5" w:name="CONCENTRATION_REQUIREMENTS"/>
      <w:bookmarkEnd w:id="5"/>
      <w:r>
        <w:lastRenderedPageBreak/>
        <w:t>CONCENTRATION REQUIREMENTS</w:t>
      </w:r>
    </w:p>
    <w:p w:rsidR="00343495" w:rsidRDefault="00343495">
      <w:pPr>
        <w:pStyle w:val="BodyText"/>
        <w:spacing w:before="1"/>
        <w:rPr>
          <w:b/>
          <w:sz w:val="40"/>
        </w:rPr>
      </w:pPr>
    </w:p>
    <w:p w:rsidR="00343495" w:rsidRDefault="00E00FCD">
      <w:pPr>
        <w:pStyle w:val="ListParagraph"/>
        <w:numPr>
          <w:ilvl w:val="0"/>
          <w:numId w:val="1"/>
        </w:numPr>
        <w:tabs>
          <w:tab w:val="left" w:pos="1182"/>
          <w:tab w:val="left" w:pos="1183"/>
        </w:tabs>
        <w:spacing w:before="1"/>
        <w:ind w:hanging="361"/>
        <w:rPr>
          <w:sz w:val="20"/>
        </w:rPr>
      </w:pPr>
      <w:r>
        <w:rPr>
          <w:b/>
        </w:rPr>
        <w:t xml:space="preserve">EIGHT COURSES </w:t>
      </w:r>
      <w:r>
        <w:rPr>
          <w:sz w:val="20"/>
        </w:rPr>
        <w:t>(see the “Options and Restrictions” section for what can and can’t count),</w:t>
      </w:r>
      <w:r>
        <w:rPr>
          <w:spacing w:val="-37"/>
          <w:sz w:val="20"/>
        </w:rPr>
        <w:t xml:space="preserve"> </w:t>
      </w:r>
      <w:r>
        <w:rPr>
          <w:sz w:val="20"/>
        </w:rPr>
        <w:t>including...</w:t>
      </w:r>
    </w:p>
    <w:p w:rsidR="00343495" w:rsidRDefault="00343495">
      <w:pPr>
        <w:pStyle w:val="BodyText"/>
        <w:spacing w:before="10"/>
        <w:rPr>
          <w:sz w:val="19"/>
        </w:rPr>
      </w:pPr>
    </w:p>
    <w:p w:rsidR="00343495" w:rsidRDefault="00E00FCD">
      <w:pPr>
        <w:pStyle w:val="Heading3"/>
        <w:numPr>
          <w:ilvl w:val="0"/>
          <w:numId w:val="1"/>
        </w:numPr>
        <w:tabs>
          <w:tab w:val="left" w:pos="1182"/>
          <w:tab w:val="left" w:pos="1183"/>
        </w:tabs>
        <w:spacing w:before="1"/>
        <w:ind w:hanging="361"/>
      </w:pPr>
      <w:r>
        <w:t>APPROACHES TO LITERARY STUDY (ENGL</w:t>
      </w:r>
      <w:r>
        <w:rPr>
          <w:spacing w:val="-7"/>
        </w:rPr>
        <w:t xml:space="preserve"> </w:t>
      </w:r>
      <w:r>
        <w:t>UN2000/2001)</w:t>
      </w:r>
    </w:p>
    <w:p w:rsidR="00343495" w:rsidRDefault="00E00FCD">
      <w:pPr>
        <w:pStyle w:val="BodyText"/>
        <w:ind w:left="1182" w:right="745"/>
        <w:rPr>
          <w:b/>
          <w:sz w:val="22"/>
        </w:rPr>
      </w:pPr>
      <w:r>
        <w:t xml:space="preserve">This introductory course (a weekly lecture with a companion seminar) is a </w:t>
      </w:r>
      <w:r>
        <w:rPr>
          <w:b/>
        </w:rPr>
        <w:t xml:space="preserve">required </w:t>
      </w:r>
      <w:r>
        <w:t xml:space="preserve">course for English concentrators. Though listed on transcripts as 2 courses, ENGL UN2000 and ENGL W2001 form a unit and </w:t>
      </w:r>
      <w:r>
        <w:rPr>
          <w:b/>
        </w:rPr>
        <w:t>count as one 4-point course</w:t>
      </w:r>
      <w:bookmarkStart w:id="6" w:name="_DISTRIBUTION_REQUIREMENTS:"/>
      <w:bookmarkEnd w:id="6"/>
      <w:r>
        <w:rPr>
          <w:b/>
          <w:sz w:val="22"/>
        </w:rPr>
        <w:t>.</w:t>
      </w:r>
    </w:p>
    <w:p w:rsidR="00343495" w:rsidRDefault="00E00FCD">
      <w:pPr>
        <w:pStyle w:val="Heading3"/>
        <w:numPr>
          <w:ilvl w:val="0"/>
          <w:numId w:val="1"/>
        </w:numPr>
        <w:tabs>
          <w:tab w:val="left" w:pos="1182"/>
          <w:tab w:val="left" w:pos="1183"/>
        </w:tabs>
        <w:spacing w:before="137"/>
        <w:ind w:hanging="361"/>
      </w:pPr>
      <w:r>
        <w:t>DISTRIBUTION</w:t>
      </w:r>
      <w:r>
        <w:rPr>
          <w:spacing w:val="-4"/>
        </w:rPr>
        <w:t xml:space="preserve"> </w:t>
      </w:r>
      <w:r>
        <w:t>REQUIREMENTS:</w:t>
      </w:r>
    </w:p>
    <w:p w:rsidR="00343495" w:rsidRDefault="00E00FCD">
      <w:pPr>
        <w:pStyle w:val="BodyText"/>
        <w:spacing w:before="1"/>
        <w:ind w:left="1182" w:right="812"/>
      </w:pPr>
      <w:r>
        <w:t>Concentrators must also fulfill the following distribution requirements with departmental courses (note that a single course can count for more than one requirement— but this does not reduce the total number of required courses)</w:t>
      </w:r>
    </w:p>
    <w:p w:rsidR="00343495" w:rsidRDefault="00E00FCD">
      <w:pPr>
        <w:pStyle w:val="BodyText"/>
        <w:spacing w:before="1"/>
        <w:ind w:left="1182"/>
      </w:pPr>
      <w:r>
        <w:rPr>
          <w:b/>
        </w:rPr>
        <w:t>Period</w:t>
      </w:r>
      <w:r>
        <w:t xml:space="preserve">: </w:t>
      </w:r>
      <w:r>
        <w:rPr>
          <w:b/>
        </w:rPr>
        <w:t xml:space="preserve">Two </w:t>
      </w:r>
      <w:r>
        <w:t>courses dealing with literature pre-1800 (only one can focus on Shakespeare)</w:t>
      </w:r>
    </w:p>
    <w:p w:rsidR="00343495" w:rsidRDefault="00E00FCD">
      <w:pPr>
        <w:pStyle w:val="BodyText"/>
        <w:spacing w:before="1"/>
        <w:ind w:left="1182"/>
      </w:pPr>
      <w:r>
        <w:rPr>
          <w:b/>
        </w:rPr>
        <w:t>Genre</w:t>
      </w:r>
      <w:r>
        <w:t xml:space="preserve">: One course in </w:t>
      </w:r>
      <w:r>
        <w:rPr>
          <w:b/>
        </w:rPr>
        <w:t xml:space="preserve">two </w:t>
      </w:r>
      <w:r>
        <w:t>of the following categories (</w:t>
      </w:r>
      <w:r>
        <w:rPr>
          <w:b/>
        </w:rPr>
        <w:t xml:space="preserve">two </w:t>
      </w:r>
      <w:r>
        <w:t>total): poetry, prose, drama/film/new media</w:t>
      </w:r>
    </w:p>
    <w:p w:rsidR="00343495" w:rsidRDefault="00E00FCD">
      <w:pPr>
        <w:pStyle w:val="BodyText"/>
        <w:ind w:left="1182"/>
      </w:pPr>
      <w:r>
        <w:rPr>
          <w:b/>
        </w:rPr>
        <w:t>Geography</w:t>
      </w:r>
      <w:r>
        <w:t xml:space="preserve">: One course in </w:t>
      </w:r>
      <w:r>
        <w:rPr>
          <w:b/>
        </w:rPr>
        <w:t xml:space="preserve">two </w:t>
      </w:r>
      <w:r>
        <w:t>of the following literatures (</w:t>
      </w:r>
      <w:r>
        <w:rPr>
          <w:b/>
        </w:rPr>
        <w:t xml:space="preserve">two </w:t>
      </w:r>
      <w:r>
        <w:t>total): British, American, Global/Comparative</w:t>
      </w:r>
    </w:p>
    <w:p w:rsidR="00343495" w:rsidRDefault="00343495">
      <w:pPr>
        <w:pStyle w:val="BodyText"/>
        <w:rPr>
          <w:sz w:val="22"/>
        </w:rPr>
      </w:pPr>
    </w:p>
    <w:p w:rsidR="00343495" w:rsidRDefault="00343495">
      <w:pPr>
        <w:pStyle w:val="BodyText"/>
        <w:rPr>
          <w:sz w:val="22"/>
        </w:rPr>
      </w:pPr>
    </w:p>
    <w:p w:rsidR="00343495" w:rsidRDefault="00E00FCD">
      <w:pPr>
        <w:pStyle w:val="Heading1"/>
        <w:spacing w:before="135"/>
        <w:ind w:right="3460"/>
      </w:pPr>
      <w:bookmarkStart w:id="7" w:name="MINOR_REQUIREMENTS"/>
      <w:bookmarkEnd w:id="7"/>
      <w:r>
        <w:t>MINOR REQUIREMENTS</w:t>
      </w:r>
    </w:p>
    <w:p w:rsidR="00343495" w:rsidRDefault="00343495">
      <w:pPr>
        <w:pStyle w:val="BodyText"/>
        <w:rPr>
          <w:b/>
          <w:sz w:val="28"/>
        </w:rPr>
      </w:pPr>
    </w:p>
    <w:p w:rsidR="00343495" w:rsidRDefault="00E00FCD">
      <w:pPr>
        <w:pStyle w:val="ListParagraph"/>
        <w:numPr>
          <w:ilvl w:val="0"/>
          <w:numId w:val="1"/>
        </w:numPr>
        <w:tabs>
          <w:tab w:val="left" w:pos="1182"/>
          <w:tab w:val="left" w:pos="1183"/>
        </w:tabs>
        <w:ind w:hanging="361"/>
        <w:rPr>
          <w:sz w:val="20"/>
        </w:rPr>
      </w:pPr>
      <w:bookmarkStart w:id="8" w:name="_APPROACHES_TO_LITERARY_STUDY_(ENGL_UN2"/>
      <w:bookmarkEnd w:id="8"/>
      <w:r>
        <w:rPr>
          <w:b/>
        </w:rPr>
        <w:t xml:space="preserve">FIVE COURSES </w:t>
      </w:r>
      <w:r>
        <w:rPr>
          <w:sz w:val="20"/>
        </w:rPr>
        <w:t>(see the “Options and Restrictions” section for what can and can’t count),</w:t>
      </w:r>
      <w:r>
        <w:rPr>
          <w:spacing w:val="-26"/>
          <w:sz w:val="20"/>
        </w:rPr>
        <w:t xml:space="preserve"> </w:t>
      </w:r>
      <w:r>
        <w:rPr>
          <w:sz w:val="20"/>
        </w:rPr>
        <w:t>including...</w:t>
      </w:r>
    </w:p>
    <w:p w:rsidR="00343495" w:rsidRDefault="00E00FCD">
      <w:pPr>
        <w:pStyle w:val="Heading3"/>
        <w:numPr>
          <w:ilvl w:val="0"/>
          <w:numId w:val="1"/>
        </w:numPr>
        <w:tabs>
          <w:tab w:val="left" w:pos="1182"/>
          <w:tab w:val="left" w:pos="1183"/>
        </w:tabs>
        <w:ind w:hanging="361"/>
      </w:pPr>
      <w:r>
        <w:t>APPROACHES TO LITERARY STUDY (ENGL</w:t>
      </w:r>
      <w:r>
        <w:rPr>
          <w:spacing w:val="-7"/>
        </w:rPr>
        <w:t xml:space="preserve"> </w:t>
      </w:r>
      <w:r>
        <w:t>UN2000/2001)</w:t>
      </w:r>
    </w:p>
    <w:p w:rsidR="00343495" w:rsidRDefault="00E00FCD">
      <w:pPr>
        <w:pStyle w:val="BodyText"/>
        <w:spacing w:before="4" w:line="235" w:lineRule="auto"/>
        <w:ind w:left="1182" w:right="745"/>
        <w:rPr>
          <w:b/>
          <w:sz w:val="22"/>
        </w:rPr>
      </w:pPr>
      <w:r>
        <w:t xml:space="preserve">This introductory course (a weekly lecture with a companion seminar) is a </w:t>
      </w:r>
      <w:r>
        <w:rPr>
          <w:b/>
        </w:rPr>
        <w:t xml:space="preserve">required </w:t>
      </w:r>
      <w:r>
        <w:t xml:space="preserve">course for English concentrators. Though listed on transcripts as 2 courses, ENGL UN2000 and ENGL W2001 form a unit and </w:t>
      </w:r>
      <w:r>
        <w:rPr>
          <w:b/>
        </w:rPr>
        <w:t>count as one 4-point course</w:t>
      </w:r>
      <w:r>
        <w:rPr>
          <w:b/>
          <w:sz w:val="22"/>
        </w:rPr>
        <w:t>.</w:t>
      </w:r>
    </w:p>
    <w:p w:rsidR="00343495" w:rsidRDefault="00343495">
      <w:pPr>
        <w:pStyle w:val="BodyText"/>
        <w:rPr>
          <w:b/>
          <w:sz w:val="24"/>
        </w:rPr>
      </w:pPr>
    </w:p>
    <w:p w:rsidR="00343495" w:rsidRDefault="00343495">
      <w:pPr>
        <w:pStyle w:val="BodyText"/>
        <w:rPr>
          <w:b/>
          <w:sz w:val="24"/>
        </w:rPr>
      </w:pPr>
    </w:p>
    <w:p w:rsidR="00343495" w:rsidRDefault="00E00FCD">
      <w:pPr>
        <w:pStyle w:val="Heading1"/>
        <w:spacing w:before="140"/>
        <w:ind w:right="3456"/>
      </w:pPr>
      <w:bookmarkStart w:id="9" w:name="ADVISING"/>
      <w:bookmarkEnd w:id="9"/>
      <w:r>
        <w:t>ADVISING</w:t>
      </w:r>
    </w:p>
    <w:p w:rsidR="00343495" w:rsidRDefault="00343495">
      <w:pPr>
        <w:pStyle w:val="BodyText"/>
        <w:spacing w:before="9"/>
        <w:rPr>
          <w:b/>
          <w:sz w:val="24"/>
        </w:rPr>
      </w:pPr>
    </w:p>
    <w:p w:rsidR="00343495" w:rsidRDefault="00E00FCD">
      <w:pPr>
        <w:pStyle w:val="BodyText"/>
        <w:spacing w:line="237" w:lineRule="auto"/>
        <w:ind w:left="1182" w:right="573"/>
      </w:pPr>
      <w:r>
        <w:t>The Director of Undergraduate Studies (DUS) and the Committee for Undergraduate Education (CUE) are the department's dedicated academic advisors for all majors and concentrators. Make sure to stay in touch with the DUS, or any other member of CUE, as you move through the program. DUS and CUE office hours are posted on the department website, and you should feel free to drop in at any time with any questions or concerns.</w:t>
      </w:r>
    </w:p>
    <w:p w:rsidR="00343495" w:rsidRDefault="00343495">
      <w:pPr>
        <w:pStyle w:val="BodyText"/>
        <w:spacing w:before="9"/>
        <w:rPr>
          <w:sz w:val="24"/>
        </w:rPr>
      </w:pPr>
    </w:p>
    <w:p w:rsidR="00343495" w:rsidRDefault="00E00FCD">
      <w:pPr>
        <w:pStyle w:val="Heading1"/>
        <w:ind w:right="3454"/>
      </w:pPr>
      <w:bookmarkStart w:id="10" w:name="CERTIFICATION"/>
      <w:bookmarkEnd w:id="10"/>
      <w:r>
        <w:t>CERTIFICATION</w:t>
      </w:r>
    </w:p>
    <w:p w:rsidR="00343495" w:rsidRDefault="00343495">
      <w:pPr>
        <w:pStyle w:val="BodyText"/>
        <w:spacing w:before="4"/>
        <w:rPr>
          <w:b/>
          <w:sz w:val="24"/>
        </w:rPr>
      </w:pPr>
    </w:p>
    <w:p w:rsidR="00343495" w:rsidRDefault="00E00FCD">
      <w:pPr>
        <w:pStyle w:val="BodyText"/>
        <w:ind w:left="1182" w:right="923"/>
        <w:jc w:val="both"/>
      </w:pPr>
      <w:r>
        <w:t>The department will certify you for graduation in your final semester; at the beginning of that semester, you should make sure to submit to the DUS a completed worksheet, which will be used to determine your completion of requirements. The worksheet is also a good tool to track your progress through the program, in meetings with the DUS/CUE.</w:t>
      </w:r>
    </w:p>
    <w:p w:rsidR="00343495" w:rsidRDefault="00343495">
      <w:pPr>
        <w:pStyle w:val="BodyText"/>
        <w:spacing w:before="1"/>
        <w:rPr>
          <w:sz w:val="24"/>
        </w:rPr>
      </w:pPr>
    </w:p>
    <w:p w:rsidR="00343495" w:rsidRDefault="00E00FCD">
      <w:pPr>
        <w:pStyle w:val="Heading1"/>
      </w:pPr>
      <w:bookmarkStart w:id="11" w:name="INFORMATION"/>
      <w:bookmarkEnd w:id="11"/>
      <w:r>
        <w:t>INFORMATION</w:t>
      </w:r>
    </w:p>
    <w:p w:rsidR="00343495" w:rsidRDefault="00343495">
      <w:pPr>
        <w:pStyle w:val="BodyText"/>
        <w:spacing w:before="5"/>
        <w:rPr>
          <w:b/>
          <w:sz w:val="24"/>
        </w:rPr>
      </w:pPr>
    </w:p>
    <w:p w:rsidR="00343495" w:rsidRDefault="00E00FCD">
      <w:pPr>
        <w:pStyle w:val="BodyText"/>
        <w:ind w:left="1182" w:right="790"/>
      </w:pPr>
      <w:r>
        <w:t xml:space="preserve">Majors, concentrators, and minors— and those interested in departmental goings-on— should write to </w:t>
      </w:r>
      <w:hyperlink r:id="rId5">
        <w:r>
          <w:rPr>
            <w:color w:val="1154CC"/>
            <w:u w:val="single" w:color="1154CC"/>
          </w:rPr>
          <w:t xml:space="preserve">enclundergraduatecoordinator@columbia.edu </w:t>
        </w:r>
        <w:r>
          <w:t xml:space="preserve">to </w:t>
        </w:r>
      </w:hyperlink>
      <w:r>
        <w:t>be added to the departmental listserv. The listserv is the primary source of departmental information, and is used to send announcements about courses, registration, special events, fellowships, internships, etc.</w:t>
      </w:r>
    </w:p>
    <w:p w:rsidR="00343495" w:rsidRDefault="00343495">
      <w:pPr>
        <w:pStyle w:val="BodyText"/>
        <w:spacing w:before="9"/>
        <w:rPr>
          <w:sz w:val="16"/>
        </w:rPr>
      </w:pPr>
    </w:p>
    <w:p w:rsidR="00343495" w:rsidRDefault="00E00FCD">
      <w:pPr>
        <w:pStyle w:val="Heading1"/>
        <w:spacing w:before="89"/>
        <w:ind w:right="3458"/>
      </w:pPr>
      <w:bookmarkStart w:id="12" w:name="THE_SENIOR_ESSAY"/>
      <w:bookmarkEnd w:id="12"/>
      <w:r>
        <w:t>THE SENIOR ESSAY</w:t>
      </w:r>
    </w:p>
    <w:p w:rsidR="00343495" w:rsidRDefault="00343495">
      <w:pPr>
        <w:pStyle w:val="BodyText"/>
        <w:spacing w:before="5"/>
        <w:rPr>
          <w:b/>
          <w:sz w:val="24"/>
        </w:rPr>
      </w:pPr>
    </w:p>
    <w:p w:rsidR="00343495" w:rsidRDefault="00E00FCD">
      <w:pPr>
        <w:pStyle w:val="BodyText"/>
        <w:ind w:left="1182" w:right="562"/>
      </w:pPr>
      <w:r>
        <w:t>The Senior Essay is one option for completing the “capstone” requirement for the major. It is a work of advanced critical writing (approx. 10,000 words), submitted in April of the senior year as part of consideration for departmental honors. Majors who wish to write a Senior Essay must take the seminar ENGL UN3795 (“Senior Essay Research Methods”) in the fall of their senior year in order to proceed with independent essay-writing in the spring, and then in the spring take ENGL UN3999, a one-credit workshop group.</w:t>
      </w:r>
    </w:p>
    <w:sectPr w:rsidR="00343495">
      <w:pgSz w:w="12240" w:h="15840"/>
      <w:pgMar w:top="660" w:right="14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372C24"/>
    <w:multiLevelType w:val="hybridMultilevel"/>
    <w:tmpl w:val="3E8AB7F8"/>
    <w:lvl w:ilvl="0" w:tplc="3FB69E60">
      <w:numFmt w:val="bullet"/>
      <w:lvlText w:val=""/>
      <w:lvlJc w:val="left"/>
      <w:pPr>
        <w:ind w:left="1182" w:hanging="360"/>
      </w:pPr>
      <w:rPr>
        <w:rFonts w:ascii="Symbol" w:eastAsia="Symbol" w:hAnsi="Symbol" w:cs="Symbol" w:hint="default"/>
        <w:w w:val="99"/>
        <w:sz w:val="20"/>
        <w:szCs w:val="20"/>
        <w:lang w:val="en-US" w:eastAsia="en-US" w:bidi="en-US"/>
      </w:rPr>
    </w:lvl>
    <w:lvl w:ilvl="1" w:tplc="3B4C6398">
      <w:numFmt w:val="bullet"/>
      <w:lvlText w:val="•"/>
      <w:lvlJc w:val="left"/>
      <w:pPr>
        <w:ind w:left="2246" w:hanging="360"/>
      </w:pPr>
      <w:rPr>
        <w:rFonts w:hint="default"/>
        <w:lang w:val="en-US" w:eastAsia="en-US" w:bidi="en-US"/>
      </w:rPr>
    </w:lvl>
    <w:lvl w:ilvl="2" w:tplc="4D32E5A6">
      <w:numFmt w:val="bullet"/>
      <w:lvlText w:val="•"/>
      <w:lvlJc w:val="left"/>
      <w:pPr>
        <w:ind w:left="3312" w:hanging="360"/>
      </w:pPr>
      <w:rPr>
        <w:rFonts w:hint="default"/>
        <w:lang w:val="en-US" w:eastAsia="en-US" w:bidi="en-US"/>
      </w:rPr>
    </w:lvl>
    <w:lvl w:ilvl="3" w:tplc="A14A39CE">
      <w:numFmt w:val="bullet"/>
      <w:lvlText w:val="•"/>
      <w:lvlJc w:val="left"/>
      <w:pPr>
        <w:ind w:left="4378" w:hanging="360"/>
      </w:pPr>
      <w:rPr>
        <w:rFonts w:hint="default"/>
        <w:lang w:val="en-US" w:eastAsia="en-US" w:bidi="en-US"/>
      </w:rPr>
    </w:lvl>
    <w:lvl w:ilvl="4" w:tplc="184ED284">
      <w:numFmt w:val="bullet"/>
      <w:lvlText w:val="•"/>
      <w:lvlJc w:val="left"/>
      <w:pPr>
        <w:ind w:left="5444" w:hanging="360"/>
      </w:pPr>
      <w:rPr>
        <w:rFonts w:hint="default"/>
        <w:lang w:val="en-US" w:eastAsia="en-US" w:bidi="en-US"/>
      </w:rPr>
    </w:lvl>
    <w:lvl w:ilvl="5" w:tplc="C35ADE84">
      <w:numFmt w:val="bullet"/>
      <w:lvlText w:val="•"/>
      <w:lvlJc w:val="left"/>
      <w:pPr>
        <w:ind w:left="6510" w:hanging="360"/>
      </w:pPr>
      <w:rPr>
        <w:rFonts w:hint="default"/>
        <w:lang w:val="en-US" w:eastAsia="en-US" w:bidi="en-US"/>
      </w:rPr>
    </w:lvl>
    <w:lvl w:ilvl="6" w:tplc="114AC3CE">
      <w:numFmt w:val="bullet"/>
      <w:lvlText w:val="•"/>
      <w:lvlJc w:val="left"/>
      <w:pPr>
        <w:ind w:left="7576" w:hanging="360"/>
      </w:pPr>
      <w:rPr>
        <w:rFonts w:hint="default"/>
        <w:lang w:val="en-US" w:eastAsia="en-US" w:bidi="en-US"/>
      </w:rPr>
    </w:lvl>
    <w:lvl w:ilvl="7" w:tplc="48DC837E">
      <w:numFmt w:val="bullet"/>
      <w:lvlText w:val="•"/>
      <w:lvlJc w:val="left"/>
      <w:pPr>
        <w:ind w:left="8642" w:hanging="360"/>
      </w:pPr>
      <w:rPr>
        <w:rFonts w:hint="default"/>
        <w:lang w:val="en-US" w:eastAsia="en-US" w:bidi="en-US"/>
      </w:rPr>
    </w:lvl>
    <w:lvl w:ilvl="8" w:tplc="0CFA520C">
      <w:numFmt w:val="bullet"/>
      <w:lvlText w:val="•"/>
      <w:lvlJc w:val="left"/>
      <w:pPr>
        <w:ind w:left="9708" w:hanging="360"/>
      </w:pPr>
      <w:rPr>
        <w:rFonts w:hint="default"/>
        <w:lang w:val="en-US" w:eastAsia="en-US" w:bidi="en-US"/>
      </w:rPr>
    </w:lvl>
  </w:abstractNum>
  <w:num w:numId="1" w16cid:durableId="95914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95"/>
    <w:rsid w:val="00343495"/>
    <w:rsid w:val="003F3E10"/>
    <w:rsid w:val="006B36C3"/>
    <w:rsid w:val="00E0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F5900-8644-433F-A4B6-D68A15BD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352" w:right="3461"/>
      <w:jc w:val="center"/>
      <w:outlineLvl w:val="0"/>
    </w:pPr>
    <w:rPr>
      <w:b/>
      <w:bCs/>
      <w:sz w:val="28"/>
      <w:szCs w:val="28"/>
    </w:rPr>
  </w:style>
  <w:style w:type="paragraph" w:styleId="Heading2">
    <w:name w:val="heading 2"/>
    <w:basedOn w:val="Normal"/>
    <w:uiPriority w:val="9"/>
    <w:unhideWhenUsed/>
    <w:qFormat/>
    <w:pPr>
      <w:spacing w:before="90"/>
      <w:ind w:left="462"/>
      <w:outlineLvl w:val="1"/>
    </w:pPr>
    <w:rPr>
      <w:b/>
      <w:bCs/>
      <w:sz w:val="24"/>
      <w:szCs w:val="24"/>
    </w:rPr>
  </w:style>
  <w:style w:type="paragraph" w:styleId="Heading3">
    <w:name w:val="heading 3"/>
    <w:basedOn w:val="Normal"/>
    <w:uiPriority w:val="9"/>
    <w:unhideWhenUsed/>
    <w:qFormat/>
    <w:pPr>
      <w:spacing w:before="143"/>
      <w:ind w:left="1182" w:hanging="36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8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clundergraduatecoordinator@columbia.edu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ENGLISH WORKSHEET 2025.docx</vt:lpstr>
    </vt:vector>
  </TitlesOfParts>
  <Company>Columbia University</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ENGLISH WORKSHEET 2025.docx</dc:title>
  <dc:creator>English Department</dc:creator>
  <cp:lastModifiedBy>Microsoft Office User</cp:lastModifiedBy>
  <cp:revision>2</cp:revision>
  <dcterms:created xsi:type="dcterms:W3CDTF">2026-01-09T22:26:00Z</dcterms:created>
  <dcterms:modified xsi:type="dcterms:W3CDTF">2026-01-09T22:26:00Z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Acrobat PDFMaker 20 for Word</vt:lpwstr>
  </property>
  <property fmtid="{D5CDD505-2E9C-101B-9397-08002B2CF9AE}" pid="4" name="LastSaved">
    <vt:filetime>2025-03-04T00:00:00Z</vt:filetime>
  </property>
</Properties>
</file>